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junio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14 de mayo de 2012, el Procurador de los Tribunales don Antonio Sorribes Calle, en nombre y representación de Josel, S.L., interpuso demanda de amparo contra Auto de la Sección Primera de la Sala de lo Contencioso-Administrativo del Tribunal Supremo recaído en recurso de casación núm. 1501-2011, contra Sentencia dictada por la Sección Segunda de la Sala de lo Contencioso-Administrativo de la Audiencia Nacional en procedimiento ordinario 24-2008.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29 de mayo de 2013, el Magistrado Excmo. Sr. don Juan José González Rivas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2860-2012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junio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