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junio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2012, la Procuradora de los Tribunales doña Ana Isabel Lobera Argüelles, en nombre y representación de don Rafael Díez Usabiaga, y bajo la dirección del Letrado don Iñigo Iruin Sanz, interpuso recurso de amparo contra la Sentencia de la Sala de lo Penal del Tribunal Supremo de 7 de mayo de 2012, recaída en el recurso de casación núm. 11773/1,1 que estimó parcialmente el recurso interpuesto contra la dictada el 16 de septiembre de 2011 por la Sección Cuarta de la Audiencia Nacional en el rollo de sala núm. 95-2009, que había condenado al actor como responsable en concepto de autor de un delito de pertenencia a organización terrorista, en grado de dirigente, a la pena de diez años de prisión, y modificó la cuantía de la pena privativa de libertad impuesta fijándola en seis años y seis meses como autor de la modalidad básica del delito de pertenencia o integración en organización terrorista prevista en el art. 571.2 del actual Código penal, excluyendo el grado de dirigente.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el recurrente solicitó la suspensión de la ejecución de la Sentencia dictada por la Sala de lo Penal del Tribunal Supremo en lo que respecta a la pena de seis años y seis meses de prisión, accesorias de inhabilitación especial para el ejercicio del derecho de sufragio pasivo e inhabilitación especial para empleo o cargo público, ambas por el tiempo de la condena, alegando la imposibilidad de reparación de los daños que para el derecho a la libertad del recurrente supondría la ejecución de la Sentencia que impediría, de serle otorgado el amparo, el restablecimiento en la integridad de su derecho y haría perder a aquél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6 de mayo de 2013,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21 de mayo de 2013, presentó alegaciones en las que, con cita de la doctrina de este Tribunal sobre el particular, interesó que se denegara la suspensión solicitada dado el tiempo total de duración de la pena de prisión impuesta al demandante, la lejanía del tiempo de cumplimiento definitivo (31 de agosto de 2017) y la trascendencia social del delito objeto de condena, y el estado del proceso constitucional, próximo a su terminación. En cuanto a las penas de inhabilitación especial para el ejercicio del derecho de sufragio pasivo e inhabilitación especial para empleo o cargo público sostiene que procede asimismo la denegación porque las penas accesorias deben seguir la suerte de la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demandante de amparo no ha formulado alegaciones en plazo. Mediante escritos presentados en el Registro General de este Tribunal los días 24 y 27 de mayo de 2013 ha formulado una nueva solicitud de suspensión y ha interesado la acumulación de dicha petición a la ya iniciada, solicitando la concesión del plazo de tres días para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pieza cautelar consiste en determinar si procede la suspensión de la ejecución de la Sentencia recurrida, y para su examen debe tenerse en cuenta que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mantenida por este Tribunal subraya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12/2009, de 26 de enero; 1/2010, de 11 de enero, y 18/2011, de 28 de febrero,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12/2009, de 26 de enero; 112/2011, de 18 de julio).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(ATC 44/2012, de 12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en relación con la suspensión de las penas privativas de libertad, este Tribunal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el Tribunal ha venido considerando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 Este criterio es reiterado en el ATC 185/2012, de 15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conduce, como solicita el Ministerio Fiscal, a denegar la suspensión interesada en atención a la duración de la pena privativa de libertad impuesta —seis años y seis meses de prisión—, que se halla por encima del citado margen de gravedad con el que, como regla general, opera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anteriores pronunciamientos hemos venido manejando estos mismos criterios en cuanto a delitos relacionados con esta materia, en supuestos en los que se ha denegado la suspensión cuando faltaban por cumplir periodos inferiores, como en el caso del ATC 334/2004, de 13 de septiembre, en el que faltaban por cumplir dos años, por lo que no existen razones justificativas que alteren el criterio consolidado de la doctrina de este Tribunal en situaciones similares a la aquí contemplada.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 notorio que tampoco cabe acordar la suspensión del resto de los pronunciamientos de las resoluciones impugnadas al seguir las penas accesorias la misma suerte que la principal (AATC 131/2001, de 22 de mayo, FJ 2; 408/2005, de 21 de noviembre, FJ 2; y 80/2006, de 13 de marzo, FJ 2, entre otros), y por ser susceptibles de reparación los de contenido patrimonial (AATC 101/2012, de 21 de mayo, FJ 2; 126/2010, de 4 de octubre, FJ 2; y 59/2008, de 20 de febrero,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no procede acceder a la petición de acumulación de la nueva solicitud de suspensión a la solicitud que da lugar a este Auto, ni a la de conceder el plazo de tres días para alegaciones, teniendo en consideración que el régimen legal de las acumulaciones en los procesos ante el Tribunal Constitucional está regido en exclusiva por su Ley Orgánica y, en concreto, por su art. 83, sin que esta materia se incluya entre aquéllas en las que el art. 80 LOTC llama a la aplicación supletoria de la Ley Orgánica del Poder Judicial y la Ley de enjuiciamiento civil. Y que el art. 83 citado solo regula “la acumulación de aquellos procesos con objetos conexos que justifiquen la unidad de tramitación y decisión”, lo que no puede confundirse con la acumulación de incidentes distintos de un mismo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3794-2012.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