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julio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 de febrero de 2013 el Abogado del Estado, en nombre del Presidente del Gobierno, interpuso recurso de inconstitucionalidad contra el art. 41 y la disposición final séptima de la Ley de la Junta General del Principado de Asturias 3/2012, de 28 de diciembre, de presupuestos generales para 2013.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febrero de 2013 el Pleno del Tribunal Constitucional, a propuesta de la Sección Cuarta, acordó admitir a trámite el recurso de inconstitucionalidad y dar traslado de la demanda y documentos presentados, conforme establece el art. 34 de la Ley Orgánica del Tribunal Constitucional (LOTC), al Congreso de los Diputados y al Senado así como al Gobierno del Principado de Asturias y a la Junta General del Principado de Asturias,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—1 de febrero de 2013— para las partes del proceso y desde el día en que aparezca publicada la suspensión en el “Boletín Oficial del Estado” para los terceros, lo que se comunicó a los Presidentes del Gobierno del Principado de Asturias y de la Junta General del Principado de Asturias. Por último, también se ordenó publicar la incoación del recurso en el “Boletín Oficial del Estado” y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6 de marzo, el Presidente del Senado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Congreso de los Diputados, mediante escrito registrado el día 8 de marzo, comunicó que la Mesa de la Cámara había acordado que la Cámara se personase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19 de marzo de 2013, el Letrado de la Junta General del Principado de Asturias se persona en el proceso sin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Letrada del Servicio Jurídico del Principado de Asturias, en representación del Gobierno de esa Comunidad Autónoma cumplimentó el trámite de alegaciones mediante escrito registrado el 27 de marzo en el que solicita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otrosí primero del mencionado escrito solicita el levantamiento anticipado de la suspensión que pesa sobre los preceptos impugnados, conforme a las siguientes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primer lugar, que el levantamiento anticipado de la suspensión, sin esperar al transcurso de los cinco meses previstos en el art. 161.2 CE, es una posibilidad admitida por el Tribunal Constitucional, pues los cinco meses a los que hace referencia el citado precepto constitucional son, precisamente, el límite máximo inicialmente previsto para la suspensión, incluyéndose entre las potestades de este Tribunal la de ratificar o levantar la suspensión dentro de ese plazo. En ese levantamiento de la suspensión ha de partirse de la presunción de constitucionalidad del precepto impugnado y debe analizarse al margen de la viabilidad de las pretensiones formuladas en la demanda (ATC 114/2011), si bien la Letrada del Servicio Jurídico de Asturias no deja de advertir que el precepto impugnado es sustancialmente igual al “impuesto sobre depósito de las entidades de crédito”, aprobado por Ley de la Asamblea de Extremadura 14/2001, que fue declarado constitucional por la STC 210/12012, de 14 de noviembre. Indica a continuación que corresponde al Abogado del Estado la carga de probar la existencia de daños, reales y presentes, de difícil o imposible reparación que se derivarían del mantenimiento de la vigencia y aplicación de la norma asturiana a lo largo del proceso constitucional, por lo que únicamente va a alegar lo relativo a los perjuicios que generaría el mantenimiento de la suspensión. Entre tales perjuicios menciona la pérdida de ingresos ya presupuestados, estimados en unos 30 millones de euros, con el evidente perjuicio a las arcas del Principado, citando al efecto la doctrina del ATC 253/1992, de 9 de septiembre. Por otro lado, señala que en virtud de la ley estatal que recoge el mismo hecho imponible que ahora se debate, no se generaría ningún ingreso a favor del erario público estatal, dado que el tipo de gravamen que se aplica en esa norma es de 0 por 100. Así, de mantenerse la suspensión del precepto asturiano, se vería mermado el interés general de la totalidad del Estado, dado que la Administración autonómica no recaudaría, al hallarse su normativa en suspenso, y el Gobierno central tampoco recibiría ingreso alguno, dado que así lo ha decidido en su legislación. De esta manera, se estaría privando al Estado, entendido en sentido amplio, de unos cuantiosos ingresos que resultan capitales en el momento económico en el que nos encontramos y que posibilitarían el cumplimiento de unos estrictos objetivos de déficit y estabilidad impuestos por el ámbito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mediante providencia de 1 de abril de 2013 acordó incorporar a los autos los escritos formulados por el Letrado de la Junta General del Principado de Asturias y la Letrada de los Servicios Jurídicos del Principado de Asturias, respectivamente, y en cuanto a la solicitud que este último formula sobre el levantamiento de la suspensión de los preceptos objeto de recurso,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en este Tribunal el 9 de abril, formuló sus alegaciones interesando el mantenimiento de la suspensión, por los motivos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conforme a la cual es necesario ponderar, de un lado, los intereses implicados, tanto el general y público como el particular o privado de las personas afectadas, y, de otro, los perjuicios de imposible o difícil reparación que se derivan del mantenimiento o levantamiento de la suspensión. Esta valoración debe hacerse mediante el examen de las situaciones de hecho creadas y al margen de la viabilidad de las pretensiones contenidas en la demanda (ATC 88/2008, de 2 de abril,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—dirá el Abogado del Estado— es que lo que con más frecuencia se ha de examinar son las situaciones de hecho que, con cierto grado de previsibilidad, puedan producirse en el caso de levantarse la suspensión y aplicarse las normas recurridas.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alude al contenido de la norma impugnada en este proceso señalando que se plantean ahora cuestiones no resueltas por la STC 210/2012, de 14 de noviembre, relativo a la Ley de la Asamblea de Extremadura 14/2001, de 29 de noviembre, reguladora del impuesto sobre depósitos en las entidades de crédito, en especial las derivadas de la aprobación de la Ley 16/2012, de 27 de diciembre, por la que se adoptan diversas medidas tributarias dirigidas a la consolidación de las finanzas públicas y al impulso de la actividad económica, norma que introduce un impuesto estatal análogo al autonómico previsto en la norma impugnada, pero de tipo impositivo fijado inicialmente en cero. Señala asimismo la analogía que la norma impugnada guarda con el Decreto-ley de Cataluña 5/2012, objeto del recurso de inconstitucionalidad 7279-2012, indicando que los perjuicios que ocasionaría el levantamiento de la suspensión son absolutamente análogos a los que produciría el levantamiento de la suspensión de aquel, por lo que va a seguir el mismo esquema argumental que el desarrollado en el incidente de suspensión del recurso de inconstitucionalidad 7279-2012.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Advirtiendo que únicamente se va a razonar sobre los perjuicios que ocasionaría el levantamiento de la suspensión del art. 41 de la Ley 3/2012, alude en primer lugar a la doctrina del ATC 173/2002, de 1 de octubre, en el que el Tribunal acordó “levantar la suspensión de la vigencia de la Ley de la Asamblea de Extremadura 14/2001, de 29 de noviembre, del impuesto sobre depósitos de las entidades de crédito”, con fundamento en que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Estima sin embargo que las actuales circunstancias son distintas a las que concurrían al dictarse el mencionado ATC 173/2012, ya que hasta 2008 no existía ninguna duda acerca de la solvencia de las entidades financieras pero desde esa fecha la intensidad de la crisis ha afectado severamente al sector financiero y, singularmente, al español. Para ilustrar esta afirmación el Abogado del Estado cita extractos de los informes anuales del Banco de España correspondientes a los años 2008, 2009 y 2011. En relación específicamente con las entidades financieras cita el informe de estabilidad financiera de noviembre de 2012 del que destaca las afirmaciones relativas al recrudecimiento de las tensiones financieras en el área euro que tuvieron lugar entre el mes de mayo y finales de julio de 2012, lo que generó dudas sobre el sector financiero español y la calidad de sus balances. Indica, además, que el sector está sometido a un proceso de reforma consistente en la capitalización y reestructuración que ha precisado de asistencia financiera externa, recogida en un memorándum de entendimiento (MOU) entre las autoridades españolas y las europeas que se concretó en un importe de hasta 100.000 millones de euros destinados a reforzar la solvencia de las entidades con déficit de capital. Concluye, por tanto, que el sector bancario ha venido desarrollando su actividad en un entorno caracterizado por las tensiones en los mercados financieros internacionales, por la debilidad de la economía real y por su propio proceso de reestructuración y capitalización. Circunstancias todas ellas que provocaron la reducción del crédito al sector privado residente. Igualmente alude al aumento de la morosidad que sufre el sector, a las dificultades de acceso a la financiación de los mercados mayoristas, la disminución de los depósitos minoristas y la presión a la baja de la rentabilidad de las entidades, lo que conlleva resultados negativos para el conjunto del sector. Esas tensiones sobre el sistema financiero se habrían visto acrecentadas tras las incertidumbres generadas por “el proceso de negociación de los términos de la asistencia financiera a Chipre”, que ha vuelto a generar grandes dudas sobre el sistema financiero europeo y, en particular, el español.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las anteriores afirmaciones el Abogado del Estado alude ya a los perjuicios que la aplicación del Decreto-ley 5/2012 produciría: a) para el sector de las entidades de crédito y su reestructuración y b) para el acceso al crédito de las empresas y economías domésticas y, por extensión, para el crecimiento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primeros toma, para valorar adecuadamente los perjuicios, una serie de datos que afirma extraídos de la página web de la Asociación Española de Banca (AEB), los cuales, a su vez, se extraen, en lo relativo a los resultados del sector, del “Boletín Estadístico del Banco de España”. Señala que los perjuicios que causa la norma se contemplan mejor si se realiza el ejercicio de generalizar el impuesto a todo el territorio nacional, ejercicio admitido por el Tribunal en el ATC 87/2012, de 10 de mayo, FJ 4. Así, indica que el coste fiscal directo del impuesto catalán sobre depósitos en las entidades de crédito, equivalente al impuesto asturiano ascendería a 866 millones de euros y, si se generalizase en todas las Comunidades Autónomas, se elevaría a 5.095 millones de euros, lo que hubiera convertido el resultado positivo de la actividad de explotación de 4.189 millones en 2011 en un resultado negativo de 906 millones de euros, con un todavía mayor impacto en el año 2012 pues durante los seis primeros meses las entidades de depósito registraron un resultado consolidado de -3.124 millones de euros. Por otro lado, indica que la hipótesis de la extensión del impuesto no es irrazonable, habida cuenta de su existencia en cinco Comunidades Autónomas que han seguido el inicial modelo del impuesto extremeño y que, además, el examen consolidado del impuesto en todo el territorio resulta imprescindible para evaluar los perjuicios derivados del levantamiento de la suspensión, dado que éstos solamente se perciben en relación con el resultado de explotación de las entidades de crédito, no estando este dato disponible por Comunidades Autónomas.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la aplicación del tributo el Abogado del Estado estima que, “en primer lugar, posiblemente aumentarían las necesidades de financiación de gran número de entidades que habrían de acudir a la línea de crédito solicitada por España a la Unión Europea. En segundo lugar, como consecuencia de la aplicación del IDEC [impuesto sobre depósitos en las entidades de crédito] las entidades de depósito necesitarían realizar un ajuste mucho más duro para sanear su cuenta de explotación, con una grave afectación a la confianza en el sector y, por supuesto, también al empleo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perjuicios para el acceso al crédito de las empresas y economías domésticas y, por tanto, para el crecimiento económico, el Abogado del Estado remite, nuevamente a la página web de la AEB, para destacar el elevado endeudamiento de empresas y familias, lo que determina que los depósitos captados sean insuficientes para alcanzar a financiar la totalidad del crédito a empresas y familias, insuficiencia que se ha cubierto tradicionalmente mediante el recurso a los mercados de valores de renta fija. Sin embargo, la crisis económica ha provocado una fuerte contracción de los mercados de deuda en general y de los habitualmente utilizados por las entidades españolas en particular, afectados además por el descenso en la calificación de la deuda española y la consiguiente elevación del coste de financiación. Todo ello introduce una fuerte presión en la evolución del crédito a empresas y familias, presión que se acrecienta por la línea descendente mantenida por los depósitos en 2011 y 2012. En esa situación estima el Abogado del Estado que no hace falta ser un experto economista para entender que cualquier elemento que pudiese afectar negativamente a la cifra de depósitos, como podría ser una mayor tributación, supone mayores restricciones para que las entidades bancarias puedan conseguir financiación e, inevitablemente, tendrá efectos en una mayor contracción del crédito a familias y empresas con efectos también en el consumo y en la inversión productiva, por lo que se estaría provocando una reducción de la actividad económica con el consiguiente aumento del desempleo. Concluye por ello el Abogado del estado que, “en las circunstancias de inestabilidad económica descritas, un impuesto que coloca a un sector tan esencial como el bancario en una situación de pérdidas en su cuenta agregada de explotación, con las graves repercusiones que eso ha de tener no sólo en las propias entidades sino en la economía en general, debe quedar en suspenso durante la tramitación del presente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al art. 41 y la disposición final séptima de la Ley de la Junta General del Principado de Asturias 3/2012, de 28 de diciembre, de presupuestos generales para 2013,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41 crea el impuesto sobre depósitos en entidades de crédito como impuesto aplicable a las entidades de crédito que operen en el territorio del Principado de Asturias y establece las disposiciones por las que se rige. Por su parte la disposición final séptima regula la entrada en vigor de la Ley 3/2012 el día 1 de enero de 2013, salvo lo dispuesto en el artículo 41, que entrará en vigor el día siguiente al de su publicación en el “Boletín Oficial del Principado de Asturias”. Los motivos de inconstitucionalidad alegados son dos, ambos imputables al art. 41, pues, según afirma el Abogado del Estado, la impugnación de la disposición final séptima está llamada a seguir la suerte de aquella. El primero es la imposibilidad de crear tributos mediante una ley de presupuestos, con la consiguiente vulneración del art. 134.7 CE y el segundo, la vulneración de los límites de la potestad tributaria autonómica establecidos en el art. 6.2 de la Ley Orgánica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Expuestos los términos del recurso de inconstitucionalidad, cuyo contenido no compete resolver en este momento procesal, hemos de centrarnos en la cuestión de si procede o no procede levantar la suspensión de vigencia de las disposiciones impugnadas por el Estado, tal y como solicita la Letrada del Servicio Jurídico del Principado de Asturias. La solicitud de levantamiento anticipado de la suspensión sin esperar al transcurso de los cinco meses previstos en el art. 161.2 CE resulta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88/2013, de 23 de abril, FJ 2,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suspensión,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y 60/2013,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pues, de lo que ahora se trata es de dilucidar si los perjuicios que han sido alegados por el Abogado del Estado tienen la gravedad y consistencia necesarias como para prevalecer sobre la presunción de legitimidad de la regulación asturiana y los intereses que se vinculan a su aplicación efectiva. Dicha ponderación la realizaremos únicamente respecto al art. 41 de la Ley de la Junta General del Principado de Asturias 3/2012, pues, como ha apuntado el Abogado del Estado, en el escrito de interposición del recurso de inconstitucionalidad y en el presentado con ocasión del incidente de suspensión, la suerte de la disposición final séptima va ligada a la de aquel precepto, tanto en lo relativo a su enjuiciamiento de fondo como en lo que al presente incidente concierne.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ocasión el Abogado del Estado solicita el mantenimiento de la suspensión de la norma impugnada fundamentando su petición en la gravedad de la situación económica, en especial en relación con la solvencia de las entidades de crédito y el sistema financiero. Dado dicho contexto ha argumentado que el levantamiento de la suspensión sería susceptible de generar perjuicios irreparables para la entidades de depósito sujetas al pago del tributo pues señala, a partir de datos que afirma extraídos de la página web de la Asociación Española de Banca (AEB), que la extrapolación del tributo autonómico impugnado al conjunto del Estado hubiera convertido el resultado positivo de la actividad de explotación del sector en el año 2011, último dato disponible, en un resultado negativo, resultado negativo susceptible de incrementarse en ejercicios posteriores a tenor del proceso de deterioro de los activos en el que están inmersas las entidades de crédito. Por otro lado ha destacado también la existencia de perjuicios para el acceso al crédito de las empresas y de las economías domésticas, puesto que, con apoyo también en la página web de la AEB, afirma que gravar los depósitos va a suponer una contracción en el crédito, habida cuenta de las dificultades en conseguir financiación por las que actualmente pasan las entidades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Gobierno del Principado de Asturias ha interesado el levantamiento de la suspensión alegando la sustancial identidad del tributo con el creado por la Ley de la Asamblea de Extremadura 14/2001, que fue declarado constitucional por la STC 210/2012, de 14 de noviembre, así como recalcando los perjuicios que sufría la hacienda autonómica por la merma de ingresos ya presupuestados, perjuicios tanto más graves cuanto se producen en una situación de evidentes dificultades de las arcas públicas, y, finalmente, ha aducido el hecho de que el tributo estatal sobre esta materia, creado por la Ley 16/2012, de 27 de diciembre, por la que se adoptan diversas medidas tributarias dirigidas a la consolidación de las finanzas públicas y al impulso de la actividad económica, ha establecido un tipo cero de gravamen, con lo que no es susceptible de generar ingresos, mermando así el interés general, dado que, de mantenerse la suspensión, la Administración autonómica no recaudaría su impuesto y tampoco lo haría el Gobierno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siquiera de forma sucinta, los perjuicios a los intereses particulares y generales que cada una de las partes plantea que pueden producirse si se mantiene o se alza la suspensión previamente acordada por el Tribunal, procede que realicemos la ponderación que es propia de este incidente cautelar atendiendo a la determinación de las consecuencias que podrían derivarse del alzamiento o mantenimiento de la suspensión, teniendo presente que sobre el Abogado del Estado pesa la carga de acreditar la existencia de los perjuicios y la imposible o difícil reparación de los mismos. En esa ponderación habremos de huir de toda consideración sobre el fondo del asunto lo que explica que no ha de tenerse ahora en cuenta la alegación de la Letrada del Servicio Jurídico del Principado de Asturias en relación con las similitudes que el tributo ahora suspendido guarda con el creado por la Ley de la Asamblea de Extremadura 14/2001, que ha sido objeto de la STC 210/2012.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señalado los perjuicios aducidos por el Abogado del Estado son, esencialmente, dos: los directos, que sufrirían las entidades de crédito que capten depósitos, y los indirectos, que afectarían al acceso al crédito de las empresas y economías domésticas. Además, los directos podrían ser mayores si el tributo se extrapolase al resto de las Comunidades Autónomas. Como pone de manifiesto el Abogado del Estado en su escrito, tales perjuicios ya fueron alegados con ocasión del incidente de suspensión relativo al Decreto-ley de Cataluña 5/2012, de 18 de diciembre, del impuesto sobre los depósitos en las entidades de crédito, incidente resuelto por el ATC 123/2013, de 21 de mayo, en términos que, dada la sustancial identidad de las alegaciones formuladas por el Abogado del Estado, no cabe sino reiterar.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comenzando por el primero de ellos, ya señalamos en el citado ATC 123/2013 (FJ 4) que, al basarse las conclusiones del Abogado del Estado sobre los perjuicios que sufriría el sector financiero en los datos extraídos de la página web de la Asociación Española de Banca, tales datos no podían tener, dado que la AEB se define como “una asociación profesional abierta a todos los bancos españoles y extranjeros que operan en España” cuyas funciones “se centran en la defensa y representación de los intereses colectivos de sus miembros en los distintos ámbitos que afectan a su actividad”, el valor probatorio pretendido, pues con ellos no quedaba levantada la carga de justificar debidamente la necesidad de mantenimiento de la suspensión, atendiendo además a la presunción de validez de la norma impugnada y al carácter cautelar con que se configura la medida de la suspensión. Criterio reiterado al desestimar, con ésta misma fecha el recurso de súplica deducido contra el ATC 123/2013 de constante 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en el mismo fundamento jurídico, descartamos que el riesgo de extrapolación de este impuesto a las restantes Comunidades Autónomas, pudiera ser tomado en consideración, por tratarse de una mera hipótesis no confirmada que, como tal, no puede prevalecer, en la ponderación propia de este incidente, sobre la presunción de constitucionalidad de la que, en principio, goza la norma impugnada. Además, aludimos a lo dispuesto en el art. 19 de la Ley 16/2012, que crea un impuesto estatal sobre los depósitos de entidades de crédito, cuya finalidad es, conforme a la exposición de motivos de la citada ley, “asegurar un tratamiento fiscal armonizado que garantice una mayor eficiencia en el funcionamiento del sistema financiero”, por lo que, a los efectos del presente incidente, la mera existencia de la norma estatal citada sirve para desvirtuar el riesgo de generalización del tributo que ha alegado el Abogado del Estado. Riesgo que, como también señalamos, se basaba en una doctrina, la del ATC 87/2012, de 10 de mayo y los allí citados, “establecida en relación a una cuestión muy distinta en la que, precisamente lo que se alegaba, en asuntos relativos a retribuciones de los funcionarios públicos, era que se ponía en peligro ‘la efectividad de una medida de política económica general dirigida a contener la expansión relativa de uno de los componentes esenciales del gasto público’, como es el del gasto en personal (en el mismo sentido, bien que por referencia a las restricciones en el ingreso de nuevo personal, ATC 161/2012, de 13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reiteramos ahora que tampoco “los concretos perjuicios que alega respecto al aumento de las necesidades de financiación de las entidades y a la afectación a la confianza en el sector y al empleo en el mismo, pueden ahora ser tomados en consideración pues se presentan desprovistos de dato alguna que permita su ponderación y se formulan de modo hipotético, además de no tomar en consideración las medidas de reestructuración bancaria puestas en marcha, uno de cuyos exponentes más relevantes es el Real Decreto-ley 24/2012, de 31 de agosto, sobre reestructuración y resolución de entidades de crédito, posteriormente sustituido por la Ley 9/2012, de 14 de noviembre.” (ATC 123/2013,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con cita del ATC 108/2011, de 18 de julio, FJ 6, consideramos que los intereses particulares, como lo son los del sector financiero, sin perjuicio de su relevancia para el buen funcionamiento de la economía nacional, no podían prevalecer sobre los generales, en este caso “relacionados con la necesidad de adoptar las medidas precisas para hacer frente a una situación de inestabilidad financiera y crisis económica como el que actualmente vive nuestro país”. En este caso, la representación procesal del Gobierno del Principado de Asturias ha señalado que la recaudación prevista por este tributo ya se encuentra incluida en la previsión de ingresos del presupuesto autonómico, con un importe estimado de 30 millones de euros, lo que, como en el ATC 123/2013, FJ 4, permite apreciar que se trata de “recursos, en suma y desde la perspectiva cautelar que nos impone el presente incidente, tanto más necesarios en un momento de fuertes recortes presupuestarios, obligados para afrontar las actuales exigencias de reducción del déficit y del endeudamiento de la Comunidad Autónoma de Cataluña y, por extensión, del conjunto de España y que ha determinado ya la adopción de medidas extraordinarias de apoyo a la liquidez de las Comunidades Autónomas, como, por ejemplo, las previstas en el Real Decreto-ley 21/2012, de 13 de julio, sobre medidas de liquidez de las Administraciones públicas y en el ámbito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Algo similar sucede con el segundo de los perjuicios alegados por el Abogado del Estado, el relativo a la repercusión del tributo sobre el acceso al crédito de las empresas y familias, pues ya consideramos en el ATC 123/2013, FJ 5, que se trataba de “una hipótesis no acreditada” que no podía prevalecer sobre los perjuicios que sufrirían los intereses generales de la Comunidad Autónoma si la suspensión se mantuviese.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falta de relevancia de esta segunda consecuencia respecto al interés general que se conecta a la aplicación de la norma autonómica se vinculaba, entonces y ahora, “a que sus alegaciones se basan en argumentos extraídos de la página web de la AEB, por lo que es aplicable igualmente lo que acabamos de señalar respecto a su valor probatorio”. Junto a ello, consideramos que “tampoco puede estimarse que la aplicación de la norma ahora suspendida vaya necesariamente a producir los efectos que el Abogado del Estado, siquiera por referencia a lo analizado por la AEB, asocia al alzamiento de la suspensión. En efecto, además de que la generalidad con la que se formulan dificulta su valoración, presenta un marcado carácter hipotético, puesto que es evidente que, atendidas las circunstancias actuales, el endurecimiento de las condiciones de acceso al crédito no deriva necesaria y directamente de la vigencia de la norma.” Además señalamos que “la aplicación del tributo no anula el margen del que, en virtud de la reducción de costes de captación de pasivo por las entidades de crédito, disponen tales entidades, extremo, por lo demás, corroborado por los datos obrantes en el ‘Boletín Estadístico del Banco de España’ de marzo de 2013 (último disponible), recogiendo los resultados del período que va de enero a diciembre de 2012, en relación tanto con los costes financieros como con el margen de interés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como hicimos en el ATC 123/2013, FJ 6 “no está de más señalar que resulta aquí aplicable la doctrina que, con referencia a decisiones anteriores, recoge el ATC 173/2002, de 1 de octubre, FJ 3 en el sentido de señalar que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41 y de la disposición final séptima de la Ley de la Junta General del Principado de Asturias 3/2012, de 28 de diciembre, de presupuestos generales para 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