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 5375-2011 y 5548-2011, acumulados y promovidos, de un lado, por don Rafael y don José Luis Segado Rodríguez, representados por la Procuradora de los Tribunales doña María Jesús González Díez y asistidos por el Letrado don Miguel Bajo Fernández, y de otro por la mercantil Gemsa, representada por la Procuradora de los Tribunales doña Natalia Martín de Vidales Llorente y asistida por el Letrado don Juan Francisco Pérez Avilés, contra la Sentencia de la Sección Quinta de la Audiencia Provincial de Murcia de 9 de marzo de 2011, dictada en el recurso de apelación 63-2011, y contra el Auto de 19 de julio de 2011 que desestimó el incidente de nulidad de actuaciones. Ha intervenido el Ministerio Fiscal. Ha sido Ponente el Magistrado don Enrique López y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dos escritos presentados en el Registro General de este Tribunal los días 5 y 13 de octubre de 2011, respectivamente, don Rafael y don José Luis Segado Rodríguez, representados por la Procuradora de los Tribunales doña María Jesús González Díez y asistidos por el Letrado don Miguel Bajo Fernández, y la mercantil Gemsa, representada por la Procuradora de los Tribunales doña. Natalia Martín de Vidales Llorente y asistida por el Letrado don Juan Francisco Pérez Avilés, se interpusieron sendos recursos de amparo contra las resoluciones judiciales que se citan en el encabezamiento. Por otrosí solicitaron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traen causa las demandas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2 de Cartagena, por Sentencia de 2 de noviembre de 2010, recaída en el procedimiento abreviado núm. 236-2007, absolvió a los demandantes del delito de estafa por doble venta del que fueron acusados por la acusación particular, Edival,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describe de forma extensa y detallada, la venta de fincas a nombre de la mercantil Gemsa hecha en documento privado por don Rafael Segado Rodríguez a Edival, S.A.; la peculiaridad urbanística de las fincas, propiedad del Ayuntamiento hasta su adquisición por la vendedora por convenio urbanístico; el precio y la forma de pago pactada, con las entregas parciales hechas por la compradora; la posibilidad de prorrogar el plazo de cumplimiento de la obligación de otorgar escritura pública de venta; el requerimiento notarial hecho por la vendedora para obtener el pago del resto del precio a fin de otorgar escritura pública ante notario; la resolución del contrato privado comunicada por la vendedora a la compradora, poniendo a su disposición cheque bancario nominativo y la venta posterior por don José Luis Segado Rodríguez de las fincas de Gemsa a otra mercantil, mediante escritura pública ante notario.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del Juzgado de lo Penal limita la cuestión controvertida a la posible subsunción de los hechos en el tipo penal imputado, estafa por doble venta del art. 251.2 del Código penal (CP), al no existir discusión entre partes respecto de los hechos probados. Justifica el pronunciamiento absolutorio por la inexistencia de perjuicio y de elemento intencional, dolo de defraudar, y en la inexistencia del perjuicio al no haber sido entregada al perjudicado una cantidad inferior a la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que sustentan la inexistencia de perjuicio fueron la documental aportada, la declaración de los acusados e incluso la manifestación del legal representante de la entidad querellante en el acto del juicio que admitió que las obligaciones dimanantes del contrato se hallaban debidamente garantizadas y que la propia querellante ejecutó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inexistencia de dolo de defraudar, se afirma que los demandantes comunicaron por dos veces la resolución del contrato, por escrito y por acta de manifestación, y pusieron a disposición de la querellante cheque bancario por importe de 3.593.932 euros, a cambio de la entrega de avales bancarios prestados y carta de pago de escritura de hipoteca unilateral otorgada a favor de Gemsa. Con esas premisas, concluye la Sentencia que no se puede hablar de una intención de defraudar ni inicial ni sobrevenida. La controversia, añade, tiene su origen en un pretendido incumplimiento de contrato civil que deberá ventilarse ante la jurisdicción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acusación particular, Edival, S.A., formuló recurso de apelación y la Sección Quinta de la Audiencia Provincial de Murcia, sin celebrar vista pública, dictó Sentencia el 9 de marzo de 2011, en el rollo de apelación núm. 63-2011, por la que, estimando el recurso presentado, condenó a don Rafael y don José Luis Segado Rodríguez, como autores de un delito de estafa, art. 251.2 CP, con la circunstancia atenuante de dilaciones indebidas, a la pena de un año de prisión e inhabilitación para el derecho de sufragio pasivo durante el tiempo de la condena a cada uno de los acusados, siendo declarada Gemsa responsable civil subsidiaria, con determinación de la cantidad a indemnizar en concepto de responsabilidad civil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parte del relato de hechos probados de la Sentencia de instancia y limita su discrepancia a una distinta inferencia que permite afirmar la existencia de un perjuicio y de una actuación dolosa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apelación considera que “el perjuicio concurre en los querellantes, dado que estos no pudieron inscribir a su nombre en el Registro de la Propiedad, originándose de dicha venta posterior la situación litigiosa de los derechos de los perjudicados, no exigiéndose el propósito de lucro al tiempo de realizar la primera venta, concretándose el engaño o maquinación insidiosa o artimaña —según sentencias TS…— en la apariencia de titularidad que resulta de la propiedad ficticia que consta en el Registro, conociendo la venta anterior, y por tanto constando una voluntad dirigida a la realización de la acción típica y por lo tanto actuando con dolo penal, conducta que le reporta unos ingresos económicos ajenos a la actividad comercial lícita, con el consiguiente perjuicio de los primeros compradores.”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don Rafael y don José Luis Segado Rodríguez planteó incidente de nulidad de actuaciones contra la Sentencia de condena, por vulneración del derecho a un proceso con todas las garantías, art. 24.2 CE, del derecho de defensa y a la contradicción, art. 24.2 CE, del derecho a la tutela judicial efectiva, art. 24.1 CE, a la igualdad, art. 14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desestimó el incidente, mediante Auto de 19 de julio de 2012, al considerar que el pronunciamiento de condena toma como base el relato de hechos probados de la Sentencia de instancia que se acepta en su integridad, sin realizar valoración de prueba personal, del que extrae el dolo de los demandantes, efectuando una interpretación jurídica distinta de las pruebas documentales y de los hechos posteriores no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demandas de amparo coinciden sustancialmente en imputar a la resolución judicial impugnada la vulneración del derecho a un proceso público con todas las garantías, art. 24.2 CE, del derecho a la defensa y a la contradicción, art. 24.2 CE, a la tutela judicial efectiva, art. 24.1 CE, a la igualdad, art. 14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entienden que el Tribunal de apelación ha realizado una nueva valoración de la prueba practicada en instancia con infracción de los principios rectores del proceso penal —oralidad, inmediación y contradicción—, sin celebrar vista oral. Afirman que la Sentencia impugnada lleva a cabo una irracional interpretación de la voluntad de las partes, elemento subjetivo, cuya valoración obligaba a la práctica de vista oral. Citan pronunciamientos antecedentes de la misma Sección de la Audiencia Provincial en los que se exigía para la aplicación del tipo de estafa por doble venta, se afirma, un ánimo de lucro que no parece exigido en el pronunciamiento condenatorio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 vulneración del derecho a la presunción de inocencia (art. 24.2 CE), trae causa de la indebida valoración de las pruebas de cargo practicadas en la instancia sin atender al respeto de los principios de publicidad, inmediación y contradicción, que conectan con el derecho de defensa que también se afirma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demandas de amparo justifican la especial trascendencia constitucional de los recursos, en la necesidad de aclarar o cambiar la doctrina en lo relativo a la necesidad de celebrar vista por el Tribunal de apelación cuando la Sentencia dictada en instancia es absolutoria, en la existencia de un incumplimiento general y reiterado de la doctrina del Tribunal, y en la negativa manifiesta del deber de acatamiento de la doctrina de este Tribunal en relación a la revocación de pronunciamiento absolutorio de instancia sin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5 y 16 de julio de 2012, la Sala Segunda y la Sala Primera de este Tribunal acordaron, de conformidad con lo dispuesto en el art. 11.2 de la Ley Orgánica del Tribunal Constitucional (LOTC), conocer de los presentes recursos de amparo y admitir a trámite las demandas. En las providencias se acordó, en aplicación de lo dispuesto en el art. 51 LOTC, dirigir atenta comunicación a la Audiencia Provincial de Murcia, Sección Quinta, y al Juzgado de lo Penal núm. 2 de Cartagena a fin de remitir certificación o copia adverada de las actuaciones correspondientes al rollo de apelación núm. 63-2011 y al procedimiento abreviado núm. 236-2007, debiendo previamente emplazar a quienes hubieran sido parte en ese proceso, excepto a las partes recurrentes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idénticas fechas se acordó la formación de pieza separada de suspensión. La Sala Segunda, por Auto de 21 de agosto de 2012, acordó suspender la ejecución de la pena privativa de libertad de un año de prisión y la accesoria de inhabilitación especial para el derecho de sufragio pasivo impuesta a los demandantes, denegando la suspensión de los restantes pronunciamientos. Por su parte, la Sala Primera, por Auto de 29 de octubre de 2012, acordó denegar la suspensión de la ejecución del pronunciamiento condenatorio civil contenido en la Sentencia de 9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 las Secretarías de las Salas Segunda y Primera de este Tribunal, de 17 de septiembre y 1 de octubre de 2012, se tuvieron por personados y partes en el recurso de amparo 5375-2011 al Procurador don Aníbal Bordallo Huidobro en nombre y representación de Viviendas Edival, S.A., y a la Procuradora doña Natalia Martín Vidales, en nombre y representación de Gemsa, y en el recurso de amparo 5548-2011 al Procurador don Aníbal Bordallo Huidobro en nombre y representación de Viviendas Edival, S.A. En las mismas diligencias se acordó dar vista de las actuaciones a las partes personadas y al Ministerio Fiscal, por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Viviendas Edival, S.A., acusación particular en el procedimiento penal, presentó sus alegaciones por escritos registrados el 23 de octubre (recurso de amparo 5375-2011) y el 2 de noviembre de 2012 (recurso de amparo 5548-2011), interesando la desestimación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razona que la Audiencia Provincial no ha efectuado una nueva valoración de la prueba practicada en la instancia, limitándose a realizar una nueva calificación jurídica del relato de hechos probados. Lo expresado excluye la exigencia de celebración de vista pública en apelación al no existir modificación del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Gemsa, presentó alegaciones en el recurso de amparo 5375-2011 por escrito registrado el 29 de octubre de 2012. En éste se adhiere a las quejas expuestas por los recurrentes en su demanda y se remite a los motivos que dieron contenido al recurso de amparo por ella interpuesto contra la Sentencia de la Audiencia Provincial, coincidentes con los planteados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por escritos presentados en el Registro General de este Tribunal el 5 y el 13 de noviembre de 2012, solicitando la estimación de los recursos, por vulneración del derecho a un proceso con todas las garantías, del derecho de defensa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escrito, presentado en el recurso de amparo 5375-2011, considera el Fiscal que la discrepancia entre las resoluciones judiciales se centra en si existió o no engaño en el proceder de los demandantes, la cual tiene como base el contenido de pruebas personales. Añade que la justificación de la subsunción de los hechos en el tipo por la simple celebración del contrato con el que se pierde la facultad dispositiva sobre el bien, circunstancia que por ello queda desvinculada de las pruebas personales, no tiene en cuenta el juicio de culpabilidad, fundamental en el proceso penal, que ha de tener en cuenta la intención perseguida por el sujeto, integrada por el ánimo de engañar y de lucro en perjuicio de tercero. La conclusión alcanzada por el Tribunal de apelación respecto de esa intención, sin haber celebrado audiencia pública y sin examinar las pruebas de carácter personal vulnera, a juicio del Ministerio Fiscal, el derecho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escrito, presentado en el recurso de amparo 5548-2011, considera el Fiscal que la Sentencia de apelación no solo efectúa nueva valoración de cuestiones jurídicas, sino que también alcanza a cuestiones de hecho con valoración de prueba documental y, de forma indirecta, del testimonio de los finalmente condenados, valoración que añade un elemento intencional sin audiencia de los demandantes, circunstancia que vulnera el derecho a un proceso con todas las garantías y el derecho de defensa. Por otra parte también considera vulnerado el derecho a la presunción de inocencia en tanto que el elemento intencional de los demandantes, excluida la valoración de pruebas personales, no parece se pueda inferir de la documental o de nueva valoración estrictamente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del Tribunal Constitucional, de 8 de noviembre de 2012, de conformidad con el art. 83 LOTC, se concedió a las partes un plazo común de diez días para que efectuaran alegaciones en relación a la posible acumulación del recurso tramitado con el núm. 5548-2011 en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Viviendas Edival, S.A. y Gemsa, mediante escritos con registro de entrada los días 29 y 30 de noviembre de 2012, mostraron su conformidad a la acumulación de los recursos de amparo, que fue finalmente acordada por Auto de 14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septiembre de 2013,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Quinta de la Audiencia Provincial de Murcia, de 9 de marzo de 2011, dictada en el recurso de apelación núm. 63-2011, que condenó a los recurrentes como autores de un delito de estafa, del que previamente habían sido absueltos por el Juzgado de lo Penal, y declaró responsable civil subsidiaria a la sociedad también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vulnerado el derecho a un proceso con todas las garantías (art. 24.2 CE) y el derecho de defensa porque, en su opinión, la Audiencia Provincial valoró las pruebas practicadas por el Tribunal de instancia sin respetar las garantías de publicidad, inmediación y contradicción, apreciando la existencia del elemento subjetivo del delito sin celebrar vista pública. Posteriormente citan el derecho a la tutela judicial efectiva (art. 24.1 CE), consideran también infringido 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el objeto de nuestro análisis debemos señalar que la vulneración relativa al derecho a la tutela judicial efectiva (art. 24.1 CE) carece de desarrollo argumental, circunstancia que no permite a este Tribunal entrar a examinar su contenido conforme a reiterada doctrina (por todas, SSTC 89/2010, de 15 de noviembre, FJ 2; y 182/2011, de 21 de noviembre, FJ 1), que imposibilita la reconstrucción de oficio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 de desestimarse la alegada vulneración del derecho a la igualdad en la aplicación de la ley (art. 14 CE), dado que los recurrentes no aportan un término de comparación válido a partir del cual este Tribunal pueda entrar a valorar si un mismo órgano judicial, en supuestos sustancialmente idénticos, ha resuelto en sentido distinto sin ofrecer una adecuada motivación de su cambio de criterio o sin que pueda deducirse razonablemente de los términos de la resolución impugnada, lo que constituye la esencia de la desigualdad aplicativa que se invoca. Una carga que corresponde al recurrente y cuyo incumplimiento determina, según jurisprudencia constante, la desestimación de la queja (por todas, SSTC 57/2001, de 26 de febrero, FJ 2; 152/2002, de 15 de julio, FJ 2; y 229/2003, de 18 de diciembre, FJ 6). De este modo, la demanda se limita a citar Autos y Sentencias de la misma Sección de la Audiencia Provincial, cita que por sí misma no aporta término válido de comparación al no desprenderse de ella identidad de hechos que permita valorar el distinto trato que se afirma recibido, cambio de criterio que tampoco se desprende del pronunciamiento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cuestiones suscitadas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desde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recordábamos en la STC 272/2005, de 24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nuestra doctrina debemos señalar que el enjuiciamiento constitucional del respeto a la garantía de inmediación, dentro del derecho a un proceso con todas las garantías (art. 24.2 CE), está condicionado a los hechos objeto de debate y al modo en que el Tribunal de apelación llevó a cabo la revisión del pronunciamiento absolutorio, sin que quepa adelantar soluciones rígidas o estereotipadas.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actuaciones se desprende con claridad que la Sentencia de apelación aceptó el relato de hechos probados, limitándose a efectuar una distinta inferencia que permitió apreciar la existencia de perjuicio y de actuación dolosa de los demandantes, todo ello sin valoración de pruebas personales. A tal fin el Tribunal de apelación respetando el relato de hechos probados, efectuó una distinta valoración de la prueba documental, con cita de jurisprudencia del Tribunal Supremo relativa al ánimo de lucro, al perjuicio y al engaño en los delitos de estafa por doble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el Tribunal de apelación se separó del proceso deductivo seguido en la instancia, entendiendo que el perjuicio para los querellantes se infería de la imposibilidad de inscribir a su nombre las fincas en el Registro de la Propiedad y que el “engaño o maquinación insidiosa” resultaba del reflejo en el registro de la propiedad de la titularidad del inmueble que posibilitó la venta posterior pese a conocer la hecha con anterioridad. Por tanto, fueron las premisas fácticas contenidas en el relato de hechos probados las que permitieron inferir la concurrencia de los elementos del tipo, premisas que no eran diferentes a las que permitieron al Tribunal de instancia alcanzar conclusión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 existió vulneración del derecho a un proceso con todas las garantías, al fundamentar el Tribunal de apelación el pronunciamiento de condena en la valoración de prueba documental y en la inferencia extraída del relato de hechos probados de la Sentencia de instancia, relato que no fue modificado y sin que la distinta inferencia entrara en conflicto con valoración de pruebas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mismo cabe resolver respecto a la posible vulneración del derecho a la presunción de inocencia, puesto que no se ha acreditado que no concurra prueba de cargo válida y suficiente para desvirtuar la presunción de inocencia de los recurrentes, prueba que se ha practicado con las debidas garantías, habiendo expuesto la Audiencia que le han conducido a constatar el relato de hechos probados a partir de la actividad probatoria y la inferencia de culpabilidad. No podemos olvidar que la función de este Tribunal respecto a este derecho —STC 66/2009, de 9 de marzo— no consiste en enjuiciar el resultado alcanzado, sino el control externo del razonamiento lógico seguido para llegar a él, y constando la aparente razonabilidad del discurso que una la actividad probatoria y el relato fáctico resultante en las resoluciones impugnadas. Como acabamos de decir, fueron las premisas fácticas contenidas en el relato de hechos probados las que permitieron inferir la concurrencia de los elementos del tipo, premisas que no eran diferentes a las que permitieron al Tribunal de instancia alcanzar conclusión distinta, y en su consecuencia no se vulneró el derecho a la presunción de inocencia. No nos encontramos ante un supuesto de hecho al que pueda aplicarse la doctrina de nuestra Sentencia 88/2013, de 11 de abril, en la que se dice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cuestiones suscitadas es la relativa al deber de audiencia del acusado en los supuestos de revocación de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“la exigencia de la garantía de la audiencia del acusado en fase de recurso depende de las características del proceso en su conjunto. Más concretamente,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En este sentido,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 (STC 45/2011,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desde la STC 170/2002, de 30 de septiembre, FJ 15, que cuando a partir de los hechos declarados probados en la primera instancia, el núcleo de la discrepancia entre la Sentencia absolutoria y la condenatoria sea una cuestión estrictamente jurídica, para su resolución no resulta necesario oír al acusado en un juicio público, sino que el Tribunal puede decidir adecuadamente sobre la base de lo actuado. En el mismo sentido, el Tribunal Europeo de Derechos Humanos indica que ‛tras celebrarse una vista pública en primera instancia, la ausencia de debate público en apelación puede justificarse por las particularidades del procedimiento considerado, teniendo en cuenta la naturaleza del sistema de apelación interno, el alcance de los poderes del órgano de apelación, la manera en que los intereses del demandante han sido realmente expuestos y protegidos ante éste, y principalmente la índole de las cuestiones que éste tiene que juzgar … Así, ante un Tribunal de apelación que goza de plenitud de jurisdicción, el artículo 6 no garantiza necesariamente el derecho a una vista pública ni, si dicha vista ha tenido lugar, el de comparecer personalmente en los debates’ (entre otras SSTEDH de 16 noviembre 2010, caso García Hernández c. España § 24; 16 diciembre 2008, caso Bazo González c. España § 30). De acuerdo con la doctrina del Tribunal Europeo de Derechos Humanos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Convenio europeo para la protección de los derechos humanos y de las libertades fundamentales, en la medida en que ‛los aspectos analizados por la Audiencia Provincial poseían un aspecto puramente jurídico, sin que los hechos declarados probados en primera instancia hubieran sido modificados.’ (§ 36).” (STC 45/2011,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precisamos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 (STC 45/2011,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relación a la naturaleza de las cuestiones planteadas por los demandantes considera la STC 126/2012, de 18 de junio, FJ 4 que “el enjuiciamiento sobre la concurrencia de los elementos subjetivos del delito forma parte, a estos efectos, de la vertiente fáctica del juicio que corresponde efectuar a los órganos judiciales”, siendo por ello precisa la previa audiencia de los acusados, pronunciamiento consecuente con la jurisprudencia del Tribunal Europeo de Derechos Humanos que cita la Sentencia, (SSTEDH de 22 de noviembre de 2011, caso Lacadena Calero c. España, §§ 46 a 49; y de 13 de diciembre de 2011, caso Valbuena Redondo c. España, (§§37 y 39), y con otros posteriores en idéntico sentido (SSTEDH de 20 marzo 2012, caso Serrano Contreras c. España, §§ 37 a 39; y de 27 de noviembre de 2012, caso Vilanova Goterris y Llop García c. España, §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Trasladando tales presupuestos al caso aquí controvertido, es preciso hacer notar que a la hora de fundamentar la condena por el delito de estafa, la Sentencia de la Audiencia Provincial impugnada incurre en el mismo proceder que las resoluciones que dieron lugar a las citadas decisiones del Tribunal Europeo de Derechos Humanos. Como hemos adelantado en los antecedentes, la absolución acordada por el Juzgado de lo Penal consideró que de los hechos probados no se infería la existencia de un dolo de defraudar, ni inicial ni sobrevenido. Tal juicio deductivo se sustentó en que los demandantes comunicaron por dos veces la resolución del contrato, por escrito y por acta de manifestación, y pusieron a disposición de la querellante cheque bancario por importe de 3.593.932 euros, a cambio de la entrega de avales bancarios prestados y carta de pago de escritura de hipoteca unilateral otorgada a favor de Gemsa.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de apelación no se limitó a efectuar consideraciones meramente jurídicas o discrepar de la subsunción penal de los hechos declarados probados, sino que su decisión alcanzó a cuestiones de hecho apreciando la existencia del ánimo de engaño en los acusados por la existencia de una “apariencia de titularidad que resulta de la propiedad ficticia que consta en el Registro, conociendo la venta anterior, y por tanto constando una voluntad dirigida a la realización de la acción típica y por lo tanto actuando con dolo penal”. Por ello el Tribunal ad quem alcanzó una conclusión respecto de esa intención distinta a la del Juzgado de lo penal, sin haber dado la posibilidad a lo acusados de ser oídos infringiendo su derecho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distinto enjuiciamiento sobre los hechos subjetivos sin haber dado audiencia al acusado conlleva, en atención a la doctrina constitucional expuesta, la vulneración del derecho a la defensa (art. 24.2 CE), por cuanto, en definitiva, la condena dictada por la Audiencia Provincial supone una distinta toma de posición sobre hechos decisivos para la determinación de la culpabilidad de los demandantes, en concreto un cambio en la valoración de la existencia en los recurrentes del ánimo de defraudar, sin que estos hubiesen tenido la oportunidad de ser oídos personalmente en el curso de una vista oral, de tal suerte que es derecho de audiencia, como garantía procesal recogida en el art. 24.2 CE, supone en la práctica que el acusado tenga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debe llevarnos a otorgar el amparo solicitado, con retroacción de las actuaciones al momento procesal oportuno para que pueda ofrecerse a los recurrentes la posibilidad de ser oídos, sin que sea preciso examinar el resto de motivos expuestos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Rafael y don José Luis Segado Rodríguez y a Gemsa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defensa (art. 24.2 CE) de los recurrentes.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la Sección Quinta de la Audiencia Provincial de Murcia de 9 de marzo de 2011, dictada en rollo de apelación núm. 63-2011, con retroacción de las actuaciones al momento procesal oportuno para que pueda ofrecerse a los recurrentes la posibilidad de ser oídos, para que se pronuncie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los recursos de amparo acumulados núms. 5375-2011 y 5548-2011,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y con los efectos que se anudan a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discrepancia tiene que ver tanto con el apartamiento de nuestra anterior doctrina sobre los supuestos que dan lugar a la lesión del derecho a un proceso con todas las garantías, como con el orden de análisis de las quejas que se efectúa en la Sentencia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STC 167/2002, de 18 de septiembre, hasta la más reciente STC 120/2013, de 20 de mayo, a través de más de un centenar de resoluciones, este Tribunal ha venido abordando y delimitando las exigencias constitucionales de la revisión en segunda instancia de sentencias absolutorias penales, de conformidad con la doctrina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reciente STC 88/2013, de 11 de abril, del Pleno, expusimos un extenso resumen de dicha doctrina y de su evolución. Concluíamos allí que se produce la vulneración del “derecho a un proceso con todas las garantías” cuando un órgano judicial, conociendo a través de recurso, condena a quien había sido absuelto en la instancia, o empeora su situación, como consecuencia de una nueva fijación de los hechos probados derivada de una reconsideración de pruebas cuya correcta y adecuada apreciación exija necesariamente que se practiquen en presencia del órgano judicial que las valora; y todo ello sin haberse celebrado una vista pública en la que se haya desarrollado con todas las garantías la actividad probatoria pertinente. Como es evidente esta exigencia de vista pública afecta a la valoración de declaraciones de testigos, peritos y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señalamos que también se produce la misma vulneración (que hasta entonces calificábamos como lesión del “derecho de defensa” en las SSTC 184/2009, de 7 de septiembre; 45/2011, de 11 de abril; 142/2011, de 26 de septiembre; y 201/2012, de 12 de noviembre), cuando la condena en segunda instancia, revocando una previa absolución, o agravando el anterior pronunciamiento, se llevaba a cabo sin la presencia del acusado en el juicio de segunda instancia, siempre que la pretensión debatida se refiriera a cuestiones de hecho que afectan a su declaración de inocencia o culpabilidad. Y, desde luego, añadimos que entre esas cuestiones que exigen un nuevo pronunciamiento sobre la culpabilidad o inocencia del acusado está la apreciación de la concurrencia de elementos subjetivos del injusto (SSTC 170/2009, de 9 de julio; 184/2009, de 7 de septiembre; 214/2009, de 30 de noviembre; 30/2010, de 17 de mayo; 127/2010, de 29 de noviembre; 46/2011, de 11 de abril; 135/2011, de 12 de septiembre; 126/2012, de 18 de junio; y 144/2012, de 2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de este Tribunal que se corresponde con la jurisprudencia del Tribunal Europeo de Derechos Humanos, conforme a la cual, ambas formas de lesión del art. 24 se sustentan en idéntico fundamento. Identidad que el Pleno apreció para concluir que resultaba más adecuado que ambos supuestos quedaran “conjuntamente englobados como manifestaciones concretas dentro del derecho a un proceso con todas las garantías (art. 24.2 CE), en su proyección a la segunda instancia” (STC 88/2013, FJ 9). Apartarnos ahora de este modelo no hace sino incrementar la inseguridad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el análisis del caso objeto del presente amparo debiera haber expuesto y aplicado nuestra doctrina consolidada en la referida resolución. Y por ello debiera haberse analizado sucesivamente si la decisión de condena se apoyó en la valoración de pruebas personales, y si la cuestión planteada en apelación exigía un nuevo pronunciamiento sobre la culpabilidad o inocencia de los demandantes para así afirmar o desestimar la supuesta vulneración del derecho a un proceso con todas las garantías en segunda instancia. Considero que, desde ambas perspectivas, la respuesta es afirmativa. Coincido con la mayoría, como se exponen en el fundamento jurídico 7, en que debió oírse al acusado, dado que la pretensión de condena en apelación exigía un nuevo pronunciamiento sobre su culpabilidad o inocencia. Pero también entiendo que la apreciación de ánimo de defraudar en la conducta de los acusados, por más que se quiera vincular objetivamente al hecho de la compraventa, no podía establecerse sin valorar las declaraciones personales de los acusados, quienes manifestaron siempre haber actuado sin voluntad alguna de engaño y sólo tras haber rescindido el inicial contrato de compraventa y haber comunicado la rescisión a los compradores. Negar toda credibilidad a aquellas declaraciones, que llevaron al Juez de instancia, actuando con plena inmediación, a excluir la concurrencia del ánimo defraudatorio, supone una vulneración clara de las garantías básicas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resulta llamativo y contradictorio que, si bien en el fundamento jurídico 6 se recoge nuestra doctrina, señalando expresamente que “el enjuiciamiento sobre la concurrencia de los elementos subjetivos del delito forma parte, a estos efectos, de la vertiente fáctica del juicio que corresponde efectuar a los órganos judiciales” (STC 126/2012), se afirme poco antes, en el fundamento jurídico 4, que la Sentencia de apelación impugnada respetó los hechos probados ya que se limitó a efectuar “una distinta valoración de la prueba documental, con cita de jurisprudencia del Tribunal Supremo relativa al ánimo de lucro y del engaño en los delitos de estafa por doble venta”. Es decir, aunque el enjuiciamiento se proyectó claramente sobre los elementos subjetivos propios del injusto de la estafa, se rechaza que quedara afectada la vertiente fáctica de la resolución recurrida en apelación. Y de la misma forma, en el fundamento jurídico 5 se niega que resulte aplicable al caso la doctrina de la STC 88/2013, negativa sorprendente porque va seguida de la siguiente cita de la propia STC 88/2013: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discrepancia expuesta no se refiere únicamente a la correcta denominación del derecho fundamental cuya lesión se declara, sino que siendo éste el orden de análisis que entiendo debiéramos haber seguido, resulta gravemente inadecuado pronunciarnos sobre la no vulneración del derecho a la presunción de inocencia de los acusados, como se hace de forma insólitamente contundente en el fundamento jurídico 5. Dado que los recurrentes no fueron juzgados en segunda instancia en un proceso con todas las garantías (como reconoce la mayoría, en el fundamento jurídico sexto, al apreciar la vulneración de su derecho de defensa), el análisis de la eventual vulneración del derecho a la presunción de inocencia únicamente podría efectuarse en sede de amparo después de que la jurisdicción ordinaria se hubiera pronunciado sobre su culpabilidad o inocencia, tras observar todas las garantías. Resulta por ello improcedente afirmar que “no se ha acreditado que no concurra prueba de cargo válida y suficiente para desvirtuar la presunción de inocencia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último, pero no con menos trascendencia, mi discrepancia se extiende a los efectos del amparo que se otorga.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anuda al otorgamiento del amparo la retroacción de actuaciones, a fin de que los acusados puedan ser oídos en apelación (y, habría que añadir, puedan entonces ser condenados tras dicho trámite si se mantiene el criterio incriminatorio). La decisión de establecer tal efecto no se acompaña de argumentación alguna, si bien tiene precedentes en las SSTC 184/2009 y 142/2011 (también inmotivadas en este aspecto). La relevancia de la consecuencia, una retroacción para que el Tribunal que ya condenó a los recurrentes, sin oírles, subsane lo que parece quedar convertido en un mero trámite de forma, exige, por sí sola, una expresa motivación bien fundada.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Acordando la retroacción, la jurisdicción de amparo actúa de facto como si el recurso de amparo fuese un recurso jurisdiccional ordinario, como si el Tribunal Constitucional fuera un Tribunal de apelación o casación y como si la vulneración del derecho fundamental apreciada fuese un simple quebrantamiento de forma que debe seguir el criterio de la retroacción, usual en la jurisdicción ordinaria ante este tipo de vicios procedimentales. Creo, sin embargo, que el Tribunal debiera reflexionar seriamente sobre si puede aceptarse la retroacción cuando la propia Sentencia estima el amparo por haber sido condenado el reo sin inmediación en la instancia que le condena por primera vez, tras una previa resolución absolutoria en primera instancia. Este Tribunal debe plantearse si cabe anudar a una Sentencia estimatoria de amparo en estos casos la consecuencia de dar una nueva oportunidad a la jurisdicción ordinaria para que pueda condenar debidamente al recurrente. El “derecho a un proceso con todas las garantías” deviene así en una suerte de “derecho a una condena con todas las garantías”: el Tribunal, a través del recurso de amparo, se limitaría a identificar los vicios in procedendo para que la jurisdicción ordinaria los pueda corregir y condenar debidamente a los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paradoja puede ser superada si se destaca que el recurso de amparo es extraordinario: sólo cabe presentarlo, la mayor parte de las veces, cuando ya se ha producido una sentencia firme y, con ella, se han agotado las posibilidades de actuación de los órganos judiciales. La estimación de la solicitud de amparo, cuando no es declarativa, rompe la cosa juzgada con la única finalidad de restablecer imperativamente la efectividad del derecho fundamental vulnerado o desconocido en el proceso judicial previo.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la decisión de retroacción con repetición de juicio y nueva posibilidad de condena ha de ser excepcional y adecuadamente motivada. El derecho a la tutela judicial efectiva no debe consentir que, tras la cosa juzgada, se repita nuevamente el juicio para corregir los defectos apreciados que hacen la condena ilegítima, viciada por la lesión de un derecho fundamental; tampoco debe propiciar que el resultado de la estimación de un recurso de amparo acabe en una reformatio in peius, si en la nueva Sentencia se agrava la condena anulada; ni que se produzca un bis in idem procesal: que el ciudadano, por efecto del amparo, quede sujeto a un nuevo enjuiciamiento con la posibilidad de una nueva condena. El derecho a un proceso con todas las garantías incluye entre las mismas, conforme a nuestra doctrina, las que acaban de ser aludidas. En tal medida, dada la naturaleza del recurso de amparo y de la vulneración apreciada, debiéramos haber declarado la nulidad de la condena en segunda instancia, sin haber lugar a la retroacción de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