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10 de noviembre  de 2011 dictado por la Sección Primera de la Sala de lo Contencioso-Administrativo del Tribunal Supremo en recurso de casación núm. 3466-2010 interpuesto contra la Sentencia dictada el 8 de marzo de 2010 por la Sección Séptima de la Sala de lo Contencioso-Administrativo de la Audiencia Nacional en el recurso núm. 377-2008.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2246-2012.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3466-2010,  que ha sido impugnado en el presente recurso de amparo núm. 2246-2012.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2246-2012,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