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2 de julio de 2012 dictado por la Sección Primera de la Sala de lo Contencioso-Administrativo del Tribunal Supremo en recurso de casación núm. 6519-2011 interpuesto contra la Sentencia dictada el 10 de noviembre de 2011 por la Sección Segunda de la Sala de lo Contencioso-Administrativo de la Audiencia Nacional en el recurso núm. 40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2 de julio de 2012, resolución impugnada en el presente recurso de amparo núm. 112-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2 de julio de 2012 en el recurso de casación núm. 6519-2011, que ha sido impugnado en el presente recurso de amparo núm. 112-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112-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