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23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24 de febrero de 2011 de la Sección Primera de la Sala de lo Contencioso-Administrativo del Tribunal Supremo recaído en recurso de casación 5804-2010 interpuesto contra la Sentencia de 15 de abril de 2010 dictada por la Sección Tercera de la Sala de lo Contencioso-Administrativo de la Audiencia Nacional en el recurso núm. 792-2002.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17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24 de febrero de 2011, resolución impugnada en el presente recurso de amparo núm. 7109-2011.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24 febrero de 2011, en el recurso de casación núm. 5804-2010 que ha sido impugnado en el presente recurso de amparo 7109-2011.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núm.7019-2011,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