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196</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23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14 de junio de 2012, doña María Pilar Horcajada de Lamo, representada por la Procuradora de los Tribunales doña Delia Villalonga Vicens y asistida por el Letrado don Luis Amat Navarro, interpuso recurso de amparo contra el Auto dictado por la Sala de lo Contencioso-Administrativo del Tribunal Supremo de 15 de marzo de 2012, por el que se inadmite el recurso de casación planteado frente a Sentencia de 14 de julio de 2011 de la Audiencia Nacional, que había desestimado recurso contencioso-administrativo interpuesto frente a la denegación presunta de un solicitud de declaración de responsabilidad patrimonial del Estado por funcionamiento anormal de la Administración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suspensiva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demandante de amparo interpuso recurso contencioso-administrativo frente a la desestimación presunta de su reclamación de responsabilidad patrimonial del Estado por funcionamiento anormal de la Administración de Justicia. Rechazado su recurso mediante Sentencia de la Audiencia Nacional planteó recurso de casación que fue inadmitido por el Auto del Tribunal Supremo que ahora se impugna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 que la resolución judicial impugnada ha vulnerado el derecho a la tutela judicial efectiva (art. 24.1 CE), en su vertiente de acceso a los recursos legalmente previstos, puesto que el Tribunal Supremo ha realizado una interpretación irrazonable de la Ley reguladora de la jurisdicción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 de la Ley Orgánica del Tribunal Constitucional (LOTC), la recurrente solicita que se deje en suspenso la ejecución del Auto impugnado, alegando que su cumplimiento podría ocasionarle un perjuicio que haría perder al amparo su finalidad. Considera que puesto que la resolución impugnada en amparo le impone las costas causadas en el recurso de casación debe procederse a la suspensión parcial de su ejecución para no hacer perder al recurso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junio de 2011 la Sala Primera de este Tribunal acordó la admisión a trámite de la demanda de amparo, así como, a tenor de lo establecido en el art. 51 LOTC, requerir atentamente a la Sección Tercera de la Sala de lo Contencioso-Administrativo de la Audiencia Nacional para que remitiera testimonio de las actuaciones y emplazase a quienes fueron parte en el procedimiento, a excepción de la demandante de amparo, para que pudieran comparecer en el presente proceso de amparo. Igualmente se acordó requerir a la Sala de lo Contencioso-Administrativo del Tribunal Supremo testimonio de las actuaciones correspondientes al recurso de casación inadmitido.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medidas cautelares y, de conformidad con lo previsto en el art. 56.4 LOTC, conceder un plazo común de tres días al Ministerio Fiscal y a la recurrente en amparo, para que alegaran lo que estimasen pertinente en relación con la petición de suspensión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recurrente, mediante escrito presentado el 10 de junio de 2013, reitera su petición de suspensión ya que, en otro caso, el recurso de amparo perdería su finalidad, al ser irreparable el perjuicio sufrido; añadiendo que la suspensión solicitada no ocasiona una perturbación específica y grave del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19 de junio de 2013, el Ministerio Fiscal pide que se deniegue la suspensión solicitada; considera que la recurrente ni ha concretado ni ha justificado el perjuicio que habría de sufrir, circunstancia que es imprescindible para poder ponderar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que podrá disponerse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ello se deriva, como regla general, que la admisión del amparo no conlleva la automática suspensión de la ejecución de los actos recurridos, ni siquiera en el supuesto expresamente previsto de la pérdida de finalidad del amparo, dado que la suspensión se condiciona a la no producción de perturbación grave de intereses constitucionalmente protegidos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ha quedado expuesto, la recurrente en amparo impugna el Auto dictado por la Sala de lo Contencioso-Administrativo del Tribunal Supremo de 15 de marzo de 2012, por el que se inadmite el recurso de casación planteado frente a Sentencia de 14 de julio de 2011 de la Audiencia Nacional, que había desestimado el recurso contencioso-administrativo interpuesto frente a la denegación presunta de una solicitud de declaración de responsabilidad patrimonial del Estado por funcionamiento anormal de la Administración de Justicia. Considera que puesto que la resolución impugnada en amparo le impone las costas causadas en el recurso de casación debe procederse a la suspensión parcial de su ejecución para no hacer perder al recurso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naturaleza de su pretensión es claramente de contenido económico puesto que solicita la suspensión de la resolución impugnada en cuanto que contiene un pronunciamiento sobre las costas por lo que en aplicación de nuestra doctrina debe ser rechazada la suspensión solicitada. Este Tribunal ha puesto de manifiesto —en lo que se refiere a la ejecución de las resoluciones judiciales cuyos efectos son fundamentalmente patrimoniales o de contenido económico— que, con carácter general, ni causa un perjuicio irreparable ni puede hacer perder al amparo su finalidad, al ser posible la restitución íntegra de lo ejecutado. De ese modo, sólo se ha accedido a la suspensión en supuestos excepcionales en que la ejecución de las resoluciones recurridas en amparo acarrearía perjuicios económicos muy difícilmente reparables por su entidad o por la irreversibilidad de las situaciones jurídicas que puedan producirse (por todos, ATC 81/2012, de 7 de mayo, FJ 2), circunstancias que no han quedado acreditadas en el presente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solicitada por doña María Pilar Horcajada de Lamo.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