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26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don Luciano Rosch Nadal en nombre de la Agencia de Medio Ambiente y Agua de Andalucía, se presentó recurso de amparo el día 1 de abril de 2013 que se registró con el número 1995-2013.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 de julio de 2013, por el mismo Procurador Sr. Rosch Nadal, se presentó escrito desistiendo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acordó, por diligencia de ordenación de fecha 3 de julio siguiente, dar traslado al Ministerio Fiscal para alegaciones sobre el desistimiento pretendido, lo que hizo por escrito de 23 de julio último, en el sentido de no oponerse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desistimiento es una forma de terminación del procedimiento prevista en los arts. 80 y 86 de nuestra Ley Orgánica (LOTC), que se remite en el primero de dichos preceptos, en cuanto a requisitos y procedimiento, a lo establecido en la Ley Orgánica del Poder Judicial y en la Ley de enjuiciamiento civil. Cumplidos estos requisitos en el presente caso, y no oponiendo objeción alguna el Ministerio Fiscal a la voluntad de desistir manifestada por el recurrente, dado el carácter rogado que, en principio, tiene la jurisdicción de amparo constitucional [arts. 161.1 b) CE y 41.3 LOTC),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y apartado de la prosecución del presente recurso a la Agencia de Medio Ambiente y Agua de Andalucía acordándose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