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203</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27 de septiembre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el Auto de 1 de marzo de 2012 dictado por la Sección Primera de la Sala de lo Contencioso-Administrativo del Tribunal Supremo en el recurso de casación núm. 4824-2011 interpuesto contra Sentencia de 29 de junio de 2011 dictada por la Sección Sexta de la Sala de lo Contencioso-Administrativo de la Audiencia Nacional en recurso 578-2010.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27 de septiembre de 2013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de lo Contencioso-Administrativo del Tribunal Supremo que dictó el Auto de 1 de marzo de 2012, resolución impugnada en el presente recurso de amparo núm. 4503-2012.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de lo Contencioso-Administrativo del Tribunal Supremo que dictó el Auto de 1 de marzo de 2012 en el recurso de casación núm. 4824-2011, que ha sido impugnado en el presente recurso de amparo núm. 4503-2012.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José González Rivas en el recurso de amparo núm. 4503-2012,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septiembre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