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213</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3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abril de 2013, el Procurador de los Tribunales don Ángel Francisco Codosero Rodríguez, en nombre y representación de don Mario Juan Carrión Olarte, y bajo la asistencia del Letrado don Jorge Martínez Martínez, interpuso demanda de amparo contra el Auto de la Sala de lo Civil del Tribunal Supremo de 26 de febrero de 2013, por el que se desestima el recurso de queja núm. 391-2012, interpuesto contra el Auto de la Sección Décima de la Audiencia Provincial de Valencia de 29 de octubre de 2012, dictada en el rollo de apelación núm. 622-2012, dando lugar al recurso de amparo núm. 2499-2013,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24 de septiembre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2499-2013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