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251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4 de noviembre de 2013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25 de julio de 2012, la Procuradora de los Tribunales doña Isabel Juliá Corujo, en nombre y representación de doña María Jesús Gallego Alfonso, interpuso demanda de amparo contra Auto y Sentencia de la Sección Cuarta de la Sala de lo Contencioso-Administrativo del Tribunal Supremo recaídos en el recurso de casación núm. 3584-2010 contra la Sentencia dictada por la Sección Novena del Tribunal Superior de Justicia de Madrid en el procedimiento ordinario núm. 202-2005.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1 de octubre de 2013, el Magistrado Excmo. Sr. don Santiago Martínez-Vares García manifestó su voluntad de abstenerse en el presente recurso de amparo y todas sus incidencias, por entender que concurría la causa establecida en el artículo 219.11 de la Ley Orgánica del Poder Judicial, supletoria de la Ley Orgánica 2/1979 (art. 80), al haber intervenido en instancia anterior en su condición de Magistrado de la Sala de lo Contencioso-Administrativo del Tribunal Supremo que dictó las resoluciones recurridas.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Santiago Martínez-Vares García,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las resoluciones impugnadas en amparo, está incurso en la causa de abstención del párrafo 11 a)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Excmo. Sr. don Santiago Martínez-Vares García en el recurso de amparo núm. 4614-2012 y apartarle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cuatro de noviembre de dos mil trece.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