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260</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13 de noviembre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abril de 2013, el Procurador de los Tribunales don Pablo Sorribes Calle, en nombre y representación de Rolser, S.A., interpuso demanda de amparo contra el Auto de la Sala de lo Civil del Tribunal Supremo de 5 de marzo de 2013, por el que se inadmite el recurso de casación núm. 1328-2012, interpuesto contra la Sentencia de la Sección Octava de la Audiencia Provincial de Alicante de 22 de marzo de 2012, dictada en el rollo de apelación núm. 805-2011, dando lugar al recurso de amparo núm. 2575-2013, sobre cuya admisibilidad debe conocer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28 de octubre de 2013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el recurso de amparo núm. 2575-2013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