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julio de 2013, la Procuradora de los Tribunales doña Blanca Murillo de la Cuadra, en nombre y representación de don Pedro Víctor Asensio Pagán, interpuso demanda de amparo contra la providencia de la Sala de lo Civil del Tribunal Supremo de 11 de junio de 2013, por la que se inadmite el incidente de nulidad de actuaciones interpuesto contra la Sentencia de 1 de abril de 2013 que declara no haber lugar al recurso de casación núm. 287-2010, dando lugar al recurso de amparo núm. 4308-2013,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11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4308-2013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