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16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mayo de 2012, el Procurador de los Tribunales don Javier Zabala Falcó, en nombre y representación de doña Mónica Estarreado Carpintero y don Luis Arribas de la Cruz, y bajo la asistencia de los Letrados don Manuel Matamoros Hernandez y don Iván Matamoros Mullor, interpuso demanda de amparo contra la providencia de la Sala de lo Civil del Tribunal Supremo de 10 de abril de 2012, por la que se inadmite el incidente de nulidad de actuaciones formulado contra la Sentencia de 30 de noviembre de 2011, dictada en el recurso de casación núm. 620-2012. Dicho recurso fue registrado con el núm. 3082-2012 y su conocimiento correspondió, por turno de reparto, a la Sala Primera de este Tribunal, que lo admitió a trámite por providencia de 10 de diciembre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Sala Primera, presidida por el Presidente del Tribunal, estará integrada por don Francisco Pérez de los Cobos Orihuel, don Luis Ignacio Ortega Álvarez, doña Encarnación Roca Trías, don Andrés Ollero Tassara, don Santiago Martínez-Vares García y don Juan Antonio Xiol Ríos (art.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3 de diciembre de 2013,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la resolución impugnada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	Estimar justificada la abstención formulada por el Magistrado don Juan Antonio Xiol Ríos en el recurso de amparo núm. 3082-2012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