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30 de enero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y don Enrique López y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10619-2006, avocado al Pleno, promovido por don Egoitz Coto Etxeandía, representado por el Procurador de los Tribunales don Javier Cuevas Rivas y asistido por el Letrado don Alfonso Zenón Castro, contra la Sentencia de la Sala de lo Penal del Tribunal Supremo de 4 de octubre de 2006 que desestimó el recurso de casación núm. 10203-2006 interpuesto contra la Sentencia de la Sección Segunda de la Sala de lo Penal de la Audiencia Nacional de 30 de noviembre de 2005, dictada en el rollo núm. 30-2003. Ha intervenido el Ministerio Fiscal. Ha sido Ponente la Magistrada doña Adela Asua Batarrita,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24 de noviembre de 2006, el Procurador de los Tribunales don Javier Cuevas Rivas, en nombre y representación de don Egoitz Coto Etxeandía, interpuso recurso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en los que tiene su origen el presente recurso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Sección Segunda de la Sala de lo Penal de la Audiencia Nacional dictó Sentencia el 30 de noviembre de 2005 por la que condenó al recurrente, junto a otras cuatro personas, como autor de dos delitos de asesinato terrorista en grado de tentativa, a la pena de diez años de prisión por cada uno, con la accesoria de dieciséis años de inhabilitación absoluta; y, como autor de un delito de daños, a la pena de dos años de prisión con la accesoria de nueve años de inhabilitación absoluta; así como a la responsabilidad civil consiguiente, en favor de las víctimas y entidades perjudicadas por los daños y perjuicios causados; y al abono de las costas procesales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relato de los hechos declarados probados, el recurrente, junto a otros integrantes de un grupo organizado y siguiendo un plan preestablecido en el marco de las acciones de la llamada lucha callejera o “kale borroka”, el día 5 de agosto de 2001, tras inutilizar previamente el alumbrado público, procedieron a lanzar artificios incendiarios contra la sucursal núm. 5 de la entidad bancaria BBK en Portugalete, al objeto de que acudieran funcionarios de la Ertzaintza. Personados dos agentes en un vehículo camuflado, fueron reconocidos por los asaltantes, quienes procedieron a romper los cristales del vehículo policial con numerosos objetos contundentes y lanzaron a su interior “cócteles molotov”, incendiando el vehículo y causando graves quemaduras a los dos agentes que se encontraban en su interior, quienes tuvieron que ser rescatados por otros compañeros que acudieron en su ayuda.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resultas de dicha acción, uno de los agentes sufrió quemaduras en el 10 por 100 de su cuerpo, que le afectaron a la cara, espalda y brazo izquierdo, quedándole secuelas diversas; el segundo agente sufrió quemaduras en el 30 por 100 de su cuerpo, que le afectaron a la cara, cuello, ambas manos, antebrazos, brazos y espalda, quedándole también importantes secuelas. Se causaron daños en la oficina bancaria y en diversos vehículos particulares.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demandante de amparo interpuso recurso de casación contra la Sentencia, por infracción de precepto constitucional, invocando la lesión de sus derechos a la intimidad (art. 18.1 CE) y a la autodeterminación informativa (art. 18.4 CE), así como a un proceso con todas las garantías y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Sala de lo Penal del Tribunal Supremo dictó la Sentencia núm. 949/2006, de 4 de octubre, mediante la que desestimó el recurso de casación presentado por el recurrente, confirmándose así el pronunciamiento condenatorio de instancia respecto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aduce: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la vulneración del derecho a la intimidad personal (art. 18.1 CE) a causa de que el análisis del perfil genético del recurrente fue realizado por la policía autonómica sin ningún tipo de control. Se afirma que esta prueba se realizó tras haber recogido un agente una colilla de cigarrillo arrojada por el recurrente cuando se encontraba detenido por otra causa, confrontándose con los restos genéticos hallados en una prenda utilizada durante la actuación delictiva. Considera que tal análisis, pese a no suponer una intervención corporal, habría precisado de autorización judicial, pues afecta al derecho a la intimidad, al poder revelar datos sensibles e íntimos de la persona, por lo que su práctica debió estar rodeada de esta garantía, para tener así seguridad de que las personas que lo realizan no se exceden en su cometido y evitar abusos o cesión de datos a terceros no autorizados.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alega el demandante la infracción de la garantía de “autodeterminación informativa” prevista en el art. 18.4 CE, a causa de que la Ertzaintza habría procedido a incluir en una base de datos informatizada el resultado del análisis de las muestras genéticas del recurrente, sin ningún tipo de control administrativo ni de otro orden, sin que se sepa quién o quiénes tienen acceso a tales datos ni quiénes son sus responsables, ni si esos datos personales van a ser utilizados para otros fines o durante cuánto tiempo se conservarán y si podrán ser utilizados en futuros procedimientos penales. Se habría actuado por dicha policía autonómica al margen de la normativa vigente, por lo que estaríamos ante un ataque a la intimidad, por no darse las garantías suficientes y adecuadas en el tratamiento de estos datos de carácter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También se aduce la infracción del derecho a la presunción de inocencia (art. 24.2 CE) porque los órganos judiciales habrían apreciado como prueba de cargo el análisis de ADN, que no puede considerarse válida por haberse realizado sin autorización judicial, resultando que todas las demás derivadas de esta prueba también han de reputarse ilícitas por aplicación de lo dispuesto en el art. 11.1 de la Ley Orgánica del Poder Judicial (LOPJ). Además, se da una falta absoluta de intervención judicial en “la toma de muestra indubitada” (colilla arrojada en la celda), siendo así que cuando se quiere que esta diligencia tenga carácter probatorio ha de intervenir un Juez, de forma que con su participación queden precisados el objeto recogido, el lugar donde éste se encontraba y las demás circunstancias necesarias para dejar acreditada la pertenencia a la persona a la que se atribuye. En este caso el análisis se ha practicado sobre muestras biológicas del recurrente obtenidas y conservadas subrepticiamente, no siendo recogidas por un médico forense sino por un policía sin ninguna preparación al respecto. Por otra parte, no se documentó convenientemente la recogida de las muestras, no existiendo la más mínima “cadena de custodia” que demuestre que la evidencia recogida contenga la saliva del recurrente, dándose cuenta al Juez de estas diligencias muy posteriormente.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dice también lesionado el derecho a la presunción de inocencia (art. 24.2 CE) porque, con independencia de la licitud o no de la prueba de ADN, no concurre prueba de cargo suficiente para la condena. Así, este análisis no pasa de ser sino una mera prueba indiciaria, limitándose el órgano judicial en este caso a recoger la coincidencia del perfil genético del imputado con el encontrado en la prenda intervenida, sin darse explicación alguna sobre cómo tal circunstancia avalaría su participación en los hechos probados. Por el contrario, concurren otros elementos probatorios, como las declaraciones prestadas en el juicio oral por algunos testigos, que conducirían a una conclusión contraria, al desprenderse de éstas que la prenda encontrada podría haber estado en el lugar de los hechos con anterioridad o bien podría haber sido utilizada por otra persona posteriormente.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entiende el demandante que se ha producido una violación de su derecho a un proceso con todas las garantías (art. 24.2 CE), por cuanto el recurso de casación interpuesto no ha satisfecho el derecho a la doble instancia en materia penal establecido en el art. 14.5 del Pacto internacional de los derechos civiles y políticos (PIDCP). Dicho recurso no habría supuesto un mecanismo efectivo de control del fallo condenatorio y de la pena impuesta, al no permitir al Tribunal Supremo proceder a una nueva valoración de la prueba y de los hechos declarados 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28 de octubre de 2008 la Sección Cuarta de este Tribunal, de conformidad con lo dispuesto en el art. 50.3 de la Ley Orgánica del Tribunal Constitucional (LOTC) en su redacción anterior a la aprobada por la Ley Orgánica 6/2007, de 24 de mayo, acordó conceder un plazo común de diez días a la parte demandante de amparo y al Ministerio Fiscal para que formularan las alegaciones que estimasen pertinentes acerca de la conveniencia de apreciar la causa de inadmisión prevista en el art. 50.1 c) LOTC, consistente en la carencia manifiesta de contenido constitucional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procesal del recurrente cumplimentó el trámite de alegaciones mediante escrito registrado el 18 de noviembre de 2008, en el que sostuvo que el recurso no carecía de contenido constitucional, reiterando en lo sustancial los razonamientos jurídicos ya expresados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en el Registro General del Tribunal el día 3 de diciembre de 2008, el Ministerio Fiscal formuló sus alegaciones, solicitando la inadmisión de la demanda por falta de contenido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análisis genético practicado por la policía autonómica sin contar con autorización judicial ni consentimiento del afectado, comienza el Fiscal señalando que desvelar el ADN no codificante a los meros efectos identificativos de una persona para su imputación criminal comporta una injerencia mínima en su derecho a la intimidad, pues todas las personas poseen datos identificativos de público conocimiento y de obligada constatación desde el momento mismo de su nacimiento. No obstante, la ley puede autorizar a la policía judicial la práctica de determinadas inspecciones, reconocimientos e incluso intervenciones corporales leves, señalando el art. 11.1 g) de la Ley Orgánica 2/1986, de 13 de marzo, de fuerzas y cuerpos de seguridad, que éstas, entre otras funciones, tienen la de “investigar los delitos para descubrir y detener a los presuntos culpables, asegurar los instrumentos, efectos y pruebas del delito, poniéndoles a disposición del Juez o Tribunal competente y elaborar los informes técnicos y periciales procedentes”, por lo que, en este caso, el análisis de las muestras biológicas recogidas tiene cobertura legal. Por lo demás, el analizar los restos de un cigarrillo para poder determinar el perfil genético de una persona a los meros efectos identificativos, a fin de compararlo con el perfil genético de personas implicadas en graves hechos delictivos cuya identidad era desconocida, respeta los principios de proporcionalidad y razonabilidad, al no existir otro modo de posible actuación investigadora.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supuesta lesión de la libertad informativa del art. 18.4 CE, rechaza el Fiscal que se haya producido, pues el análisis se ha realizado por un organismo público sujeto a una rígida normativa en su funcionamiento y a los mecanismos de control y seguridad normativamente previstos. De otra parte, el fichero en el que se recogen los datos investigados está excluido del régimen de la Ley Orgánica 15/1999, de 13 de diciembre, de protección de datos de carácter personal, a la vista de su art. 2.2 c), al tratarse de la investigación del “terrorismo y otras formas graves de delincuencia organizada”. Así las cosas, los datos archivados se limitan a desvelar los perfiles genéticos pertenecientes a autores de delitos de estas características para proceder a su identificación, concurriendo las notas tanto de necesidad como de adecuación y proporción, pues, dada la forma de actuación delictiva, la identidad de los partícipes en la misma no es susceptible de ser conocida por otros métodos.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a la toma de las muestras, razona el Ministerio público que parece claro que las colillas arrojadas al suelo por el demandante podían ser recogidas por los funcionarios policiales; es más, dicha recogida, si hubiera sido seguida de su ulterior tratamiento como basura, no sería objetable por el demandante. No sólo esta actuación estaría amparada por el art. 11.1 de la Ley Orgánica 2/1986 y el art. 282.1 de la Ley de enjuiciamiento criminal, que autorizan a la policía judicial a recoger las pruebas de los delitos, sino que también parece razonable que una pronta y cuidadosa recogida de estos restos biológicos, para evitar así riesgos de manipulación y contagio, presenta menos riesgos que una actuación más alejada en el tiempo. Por otra parte, la concurrencia en este caso de la denominada “cadena de custodia” de dichas muestras ha podido ser valorada por los órganos judiciales a través de los testimonios en el juicio oral de los policías intervinientes, tanto de los que recogieron las colillas, como de los que las enviaron al laboratorio y de los peritos que realizaron los análisis.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orden al cuarto motivo, entiende el Fiscal que no se ha producido lesión alguna de la presunción de inocencia, pues la Sentencia condenatoria tuvo por acreditados los hechos en virtud de una pluralidad de pruebas testificales y periciales, extendiéndose en sus razonamientos sobre la coincidencia del perfil genético del recurrente con el hallado en la prenda intervenida. Además, el órgano judicial examinó la prueba de descargo presentada por su defensa, considerándola irrelevante, apareciendo huérfana de todo sustento la afirmación que se hace en la demanda de que otros indicios avalarían una conclusión contraria respecto a la autoría del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no aprecia el Fiscal una vulneración del derecho a la segunda instancia penal, porque las cuestiones planteadas por el condenado en su recurso de casación (sobre la validez del análisis de ADN, ausencia de prueba de cargo para su condena y otras) han sido examinadas por el Tribunal Supremo, satisfaciéndose así las exigencias del art. 14.5 PIDCP.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17 de marzo de 2009 la Sala Segunda de este Tribunal acordó admitir a trámite la demanda y, a tenor de lo dispuesto en el art. 51 LOTC, solicitar a la Sala de lo Penal del Tribunal Supremo y a la Sección Segunda de la Sala de lo Penal de la Audiencia Nacional la remisión de certificación o fotocopia adverada de las actuaciones correspondientes al recurso de casación núm. 10203-2006 y al rollo núm. 30-2003, respectivamente. También se acordó que se procediera al emplazamiento de quienes hubiesen sido parte en el procedimiento, excepto del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Habiéndose solicitado, por otrosí en la demanda, la suspensión de la ejecución de la Sentencia condenatoria impugnada, por providencia de 17 de marzo de 2009 la Sala Segunda acordó formar la correspondiente pieza separada de medidas cautelares y, de conformidad con lo previsto en el art. 56.4 LOTC, conceder un plazo común de tres días al Ministerio Fiscal y a la parte recurrente para que alegasen lo que estimaran pertinente en relación con dicha pretensión. El Fiscal presentó sus alegaciones mediante escrito registrado el 2 de abril de 2009, solicitando la denegación de la petición suspensiva. El demandante reiteró su solicitud por escrito de 8 de abril de 2009. Finalmente, la Sala dictó el ATC 139/2009, de 11 de mayo, mediante el que se denegó la suspensión solicitada, tanto en relación a las penas privativas de libertad y sus accesorias, como en orden a los pronunciamientos de contenido patrimonial o económico.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diligencia de ordenación de 30 de junio de 2009 se acordó, a tenor de lo dispuesto en el art. 52.1 LOTC, dar vista de las actuaciones por un plazo común de veinte días al Ministerio Fiscal y al recurrente en amparo, para que presentaran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cumplimentó este trámite de alegaciones el 15 de julio de 2009, solicitando la denegación del amparo, con base en los razonamientos ya expuestos en su anterior informe. La representación procesal del demandante de amparo presentó escrito, registrado el 1 de septiembre de 2009, en el que se ratifican las alegaciones contenidas en el escrito de demanda y se añaden algunas consideraciones en refuerzo de las anteriores pero sin alterar su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A propuesta de la Sala Segunda y de conformidad con lo establecido el art. 10.1 n) LOTC, el Pleno del Tribunal, por providencia de 13 de enero de 2014, acordó recabar para sí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28 de enero de 2014, se acordó señalar para deliberación y votación de la presente Sentencia el día 30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Son objeto de impugnación en el presente proceso de amparo la Sentencia de la Sección Segunda de la Sala de lo Penal de la Audiencia Nacional de 30 de noviembre de 2005 que condenó al recurrente como autor de dos delitos de asesinato terrorista en grado de tentativa y un delito de daños, así como la Sentencia de la Sala de lo Penal del Tribunal Supremo de 4 de octubre de 2006 que desestimó el recurso de casación formulado contra aquélla.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atribuye a estas resoluciones la vulneración de su derecho a la intimidad personal (art. 18.1 CE), al haberse realizado por la policía autonómica vasca sin autorización judicial un análisis de muestras biológicas suyas que fue confrontado con el de otras halladas en el lugar de los hechos; al tiempo, se habría infringido el derecho a la “autodeterminación informativa” reconocido en el art. 18.4 CE, por haberse incluido su perfil de ADN en un fichero policial sin respetarse las garantías previstas en el ordenamiento para el tratamiento de este tipo de datos de naturaleza personal. Además, dice haberse infringido el derecho a la presunción de inocencia (art. 24.2 CE) al haberse sustentado su condena en la prueba antes indicada, cuya ilicitud debió privarla de todo valor, dada la ausencia de control judicial y no haberse respetado por la policía la necesaria “cadena de custodia” sobre las muestras biológicas. Se añade que, con independencia de lo dicho, la coincidencia de su perfil genético con el encontrado en la prenda intervenida en el lugar de los hechos no es concluyente de su participación en los mismos, existiendo en las actuaciones otros elementos probatorios que avalan una conclusión contraria. Finalmente, aduce la lesión del derecho a un proceso con todas las garantías (art. 24.2 CE) ya que, a su juicio, el recurso de casación formulado no ha servido como un mecanismo efectivo de revisión de la condena impuesta en los términos exigidos por el art. 14.5 del Pacto internacional de los derechos civiles y políticos (en adelante, PIDCP).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solicita la desestimación del recurso de amparo, pues la injerencia mínima que pueda suponer la realización del análisis genético del recurrente, con finalidad meramente identificativa, estaba permitida legalmente a la policía judicial en el marco de sus obligaciones de investigación del delito, concurriendo en este caso las notas de proporcionalidad y razonabilidad. La libertad informativa tampoco ha sido vulnerada pues el procesamiento de datos fue efectuado por un organismo público con la única finalidad de desvelar los perfiles genéticos de autores de delitos de graves características, estando excluido este fichero del régimen de la Ley Orgánica 15/1999, de 13 de diciembre, de protección de datos de carácter personal. De otro lado, añade que entre las funciones de la policía también está la de recoger las pruebas del delito, en este caso los restos biológicos, pudiendo haber sido comprobada por el Tribunal sentenciador la regularidad de la “cadena de custodia” de las muestras a través de los interrogatorios en el juicio de los funcionarios policiales, concurriendo prueba válida en la que basar la condena del recurrente. Por último, estima que el recurso de casación resuelto por el Tribunal Supremo ha cumplido adecuadamente su función en orden a la revisión de la condena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Siguiendo nuestro habitual criterio de otorgar prioridad al enjuiciamiento de aquellas quejas cuya estimación pudiera conllevar la retroacción de actuaciones (por todas, STC 182/2009, de 7 de septiembre, FJ 3), comenzaremos por la referida a la lesión del derecho a un proceso con todas las garantías (art. 24.2 CE), que, a juicio del demandante, se habría producido como consecuencia de que el recurso de casación formulado no ha supuesto un mecanismo efectivo de revisión de la condena impuesta en los términos exigidos por el art. 14.5 PIDCP, al no haberse realizado por el Tribunal Supremo un nuevo examen crítico del material probatorio aportado.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conviene recordar que este Tribunal Constitucional ha ido conformando un cuerpo de doctrina, fundamentalmente a partir de la STC 70/2002, de 3 de abril, FJ 7, con arreglo a la cual “existe una asimilación funcional entre el recurso de casación y el derecho a la revisión de la declaración de culpabilidad y la pena, declarado en el art. 14.5 PIDCP, siempre que se realice una interpretación amplia de las posibilidades de revisión en sede casacional y que el derecho reconocido en el Pacto se interprete no como el derecho a una segunda instancia con repetición íntegra del juicio, sino como el derecho a que un Tribunal superior controle la corrección del juicio realizado en primera instancia, revisando la correcta aplicación de las reglas que han permitido la declaración de culpabilidad y la imposición de la pena en el caso concreto. Reglas entre las que se encuentran, desde luego, todas las que rigen el proceso penal y lo configuran como un proceso justo, con todas las garantías; las que inspiran el principio de presunción de inocencia, y las reglas de la lógica y la experiencia conforme a las cuales han de realizarse las inferencias que permiten considerar un hecho como probado” (en el mismo sentido, SSTC 105/2003, de 2 de junio, FJ 2; 116/2006, de 24 de abril, FJ 5; y 60/2008, de 26 de mayo, FJ 4). Precisando las posibilidades de revisión en sede casacional y, en concreto, la posibilidad de examinar los hechos probados, hemos resaltado que nuestro sistema casacional no se limita al análisis de cuestiones jurídicas y formales, sino que actualmente, a través de la invocación del 24.2 CE (tanto del derecho a un proceso con todas las garantías como, fundamentalmente, del derecho a la presunción de inocencia), es posible que el Tribunal Supremo controle tanto la licitud de la prueba practicada en la que se fundamenta el fallo, como su suficiencia para desvirtuar la presunción de inocencia y la razonabilidad de las inferencias realizadas (STC 116/2006, de 24 de abril, FJ 5). Por tanto, el recurrente “tiene abierta una vía que permite al Tribunal Supremo la ‘revisión íntegra’, entendida en el sentido de posibilidad de acceder no sólo a las cuestiones jurídicas, sino también a las fácticas en que se fundamenta la declaración de culpabilidad, a través del control de la aplicación de las reglas procesales y de la valoración de la prueba” (STC 136/2006, de 8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la Sala de lo Penal del Tribunal Supremo, luego de justificar ampliamente en su Sentencia la validez y eficacia de la prueba de ADN practicada (fundamentos jurídicos 2 a 4), pone de relieve que la inferencia realizada por la Audiencia Nacional sobre la participación del acusado no es irrazonable y responde a las reglas de la experiencia, “contrastando el valor incriminatorio de los análisis de ADN con las pruebas testificales de descargo presentadas por las defensas, explicitando de forma racional y lógica por qué no les concede suficiente credibilidad, a la vez que refiere el resto de las pruebas que confirman su convicción” (fundamento jurídico 7), añadiendo que la falta de explicación alternativa de cómo pudieron aparecer aquellas huellas genéticas puede ser valorada por la Sala para reforzar su convicción (mismo fundamento jurídico 7). Posteriormente, el Tribunal de casación, con ocasión de perfilar el carácter de la acción perpetrada, procede a una ponderación de las declaraciones de los funcionarios policiales que sufrieron el atentado y de los testigos que lo presenciaron, concluyendo que la conducta del recurrente se enmarcó en un ataque colectivo dentro de las acciones denominadas como “kale borroka”, en el que todos los condenados intervinieron en el acuerdo previo y ostentaron dominio funcional del hecho (fundamento jurídico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Tribunal Supremo ha procedido a una revisión de la Sentencia condenatoria en términos constitucionalmente adecuados a las exigencias del art. 24.2 CE, interpretado a la luz del art. 14.5 PIDCP, realizando un análisis detallado de la prueba practicada, para concluir que no se había producido ningún error de valoración y que las inferencias realizadas en la instancia eran conformes a las reglas de la lógica y de la experiencia, no incurriendo en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segunda queja formulada por el recurrente es la referida a la vulneración de su derecho a la intimidad (art. 18.1 CE) como consecuencia de haber procedido la policía autonómica vasca, sin su consentimiento ni autorización judicial, a extraer el ADN de muestras biológicas obtenidas de cigarrillos arrojados por él en el calabozo donde se hallaba detenido por otros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reciente STC 199/2013, de 5 de diciembre, tras recordar la doctrina de este Tribunal en relación con el derecho a la intimidad, con particular atención a las resoluciones dictadas en materia de intervenciones o reconocimientos corporales (SSTC 207/1996, de 16 de diciembre; 196/2004, de 15 de noviembre; 25/2005, de 14 de febrero; y 206/2007, de 24 de septiembre), así como a determinados pronunciamientos del Tribunal Europeo de Derechos Humanos que ponen de manifiesto que el derecho a la vida privada resulta ya comprometido por la mera conservación y almacenamiento de muestras biológicas y perfiles de ADN (STEDH de 4 de diciembre de 2008, caso S. y Marper c. Reino Unido; y decisión de inadmisión de 7 de diciembre de 2006, caso Van der Velden c. Países Bajos), concluimos que el análisis de la muestra biológica del demandante de amparo supone una injerencia en el derecho a la privacidad por los riesgos potenciales que de tal análisis pudieran derivarse (FJ 6 in fine).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afirmada la existencia de injerencia en la vida privada, el Tribunal Europeo de Derechos Humanos sitúa la cuestión en la justificación de la medida en términos compatibles con el Convenio europeo para la protección de los derechos humanos y de las libertades fundamentales (CEDH). Y así, en la primera de las resoluciones citadas, al abordar el estudio de la existencia de un fin legítimo que justificase la injerencia apreciada, el Tribunal Europeo se ocupa de remarcar oportunamente la diferencia existente entre el supuesto abordado —conservación de muestras biológicas y perfiles de ADN para la identificación de los autores de futuros hechos delictivos— de aquellos otros casos en los cuales “la extracción inicial está destinada a vincular a una persona determinada con un delito concreto que se sospecha que ha cometido” (§ 100). El reproche del Tribunal Europeo de Derechos Humanos se dirige a la conservación indefinida por las autoridades policiales de muestras biológicas y perfiles de ADN de personas no condenadas con la finalidad de identificar a los autores de futuros hechos delictivos, pero no a la identificación de los autores de hechos delictivos a través del contraste del ADN obtenido a partir de muestras biológicas del sospechoso “con vestigios anteriores conservados en la base de datos” (§ 116). La censura se realiza, por tanto, a la conservación de los datos personales, pues el Tribunal Europeo de Derechos Humanos afirma que “se ha de considerar que el mero hecho de que las autoridades públicas conserven o memoricen datos de carácter personal, cualquiera que sea la manera en la que hayan sido obtenidos, tiene unas consecuencias directas en la vida privada de la persona afectada, tanto si se utilizan o no estos datos posteriormente” (§ 119). A su vez, en la decisión de inadmisión anteriormente citada el Tribunal Europeo de Derechos Humanos consideró que la injerencia en el derecho a la vida privada, prevista legalmente, resulta razonable en atención a que se impone a los condenados por delitos de cierta gravedad y que, a la postre, podría incluso beneficiarles al favorecer su exclusión de una eventual lista de sospechosos.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nuestra parte, en las SSTC 70/2002, de 3 de abril, FJ 10; 89/2006, de 27 de marzo, FJ 3; y 207/1996, de 16 de diciembre, FJ 4, señalamos que los requisitos que proporcionan una justificación constitucional objetiva y razonable a la injerencia en el derecho a la intimidad son los siguientes: la existencia de un fin constitucionalmente legítimo; que la medida limitativa del derecho esté prevista en la ley (principio de legalidad); que como regla general se acuerde mediante una resolución judicial motivada (si bien reconociendo que debido a la falta de reserva constitucional a favor del Juez, la ley puede autorizar a la policía judicial la práctica de inspecciones, reconocimientos e incluso de intervenciones corporales leves, siempre y cuando se respeten los principios de proporcionalidad y razonabilidad) y, finalmente, la estricta observancia del principio de proporcionalidad, concretado, a su vez, en las tres siguientes condiciones: “si tal medida es susceptible de conseguir el objetivo propuesto (juicio de idoneidad); si, además, es necesaria, en el sentido de que no exista otra medida más moderada para la consecución de tal propósito con igual eficacia (juicio de necesidad); y, finalmente, si la misma es ponderada o equilibrada, por derivarse de ella más beneficios o ventajas para el interés general que perjuicios sobre otros bienes o valores en conflicto (juicio de proporcionalidad en sentido estricto)” (STC 199/2013, de 5 de diciembre,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Comenzando por la exigencia de que la medida que supone una injerencia en el derecho a la intimidad esté orientada a la consecución de un fin constitucionalmente legítimo, “ya hemos dejado constancia de que el Tribunal Europeo de Derechos Humanos ha considerado legítima la práctica de estos análisis cuando está destinada a vincular a una persona determinada con un delito concreto que se sospecha que ha cometido (STEDH de 4 de diciembre de 2008, caso S. y Marper c. el Reino Unido, § 100)” (STC 199/2013, de 5 de diciembre, FJ 8). En el caso analizado la prueba pericial de obtención del ADN no codificante, que no permite la obtención de otros datos que los meramente identificativos, se produjo con la finalidad de ser comparado con los restos hallados en una prenda utilizada en la realización del hecho delictivo, teniendo como único objeto la averiguación de la persona que había utilizado la mencionada prenda en la perpetración de aquél, de muy intensa gravedad, como son los dos delitos de asesinato terrorista en grado de tentativa y otro de daños, por lo que no cabe duda alguna de la concurrencia de un fin legítimo en la medida adoptada por la policía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se refiere a la cobertura legal de las diligencias periciales practicadas por la policía judicial, hemos de partir, como hace la STC 199/2013, de 5 de diciembre, FJ 9, de que habiendo ocurrido los hechos antes de la reforma llevada a cabo por la Ley Orgánica 15/2003, de 25 de noviembre, aquélla cobertura se encuentra en los arts. 282 y 363 de la Ley de enjuiciamiento criminal y en el art. 11.1 de la Ley Orgánica 2/1986, de 13 de marzo, de fuerzas y cuerpos de seguridad, en cuanto, de una parte, se trata de uno de los informes técnicos y periciales a los que se refiere el apartado g); de otra, su práctica se acomoda con naturalidad a la finalidad para la que las atribuciones policiales son conferidas por el legislador, esto es, para la averiguación de los delitos y la puesta a disposición judicial de sus presuntos autores; y, finalmente, porque la menor intensidad de la injerencia en el derecho fundamental, a la que luego nos referiremos, admite una relativa relajación de las exigencias de taxatividad en la norma que presta cobertura a aquella exigida por el Convenio europeo para la protección de los derechos humanos y de las libertades fundamentales. Así lo hemos afirmado, con cita de la STEDH en el caso Sociedad Plon contra Francia, de 18 de mayo de 2004, en nuestra STC 34/2010, de 19 de julio, con respecto a la menor injerencia que supone el carácter temporal de las medidas cautelares limitativas de un derecho fundamental (en el caso, los reconocidos en el art. 20.1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 la necesidad de autorización judicial, concluimos en la repetida STC 199/2013, de 5 de diciembre, que aun cuando el análisis de ADN efectuado no fuera ordenado judicialmente, no se lesionó el derecho del demandante a la intimidad personal, por las siguientes razones, expresadas en su fundamento jurídico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por la escasa, cuando no nula, incidencia material en la intimidad personal del demandante, que habría consistido en el riesgo de que el análisis de ADN fuese más allá de la mera identificación neutra, dada la naturaleza meramente identificativa del perfil genético obtenido a partir de los sectores no codificantes del ADN. En ningún momento de la demanda se explicita información alguna que haya sido revelada a través del análisis identificativo practicado que haya comprometido o pudiera comprometer la intimidad del demandante. Se pone así en evidencia que la lesión contra la que se pretende reaccionar derivaría de la conservación y utilización futura de perfiles del ADN obtenido a partir de la muestra tomada, pero no de la comparación neutral y exclusivamente identificativa del perfil de ADN del demandante con el extraído de los vestigios del delito investigado. De este modo, aun cuando cabe admitir que el peligro de futuros usos desviados del perfil de ADN del demandante podría eventualmente constituir una injerencia en la intimidad personal por el mero riesgo, huelga ahora realizar toda consideración al respecto en el seno de un proceso de amparo como éste en la medida en que no es el supuesto concretamente analizado. Tal es también el presupuesto del que parte la reciente Sentencia del Tribunal Supremo de los Estados Unidos en el caso Maryland v. King, de 3 de junio de 2013 (identificación del autor de un delito de violación a partir del análisis del ADN de quien fue detenido como sospechoso de otro delito grave posterior) al afirmar taxativamente que los marcadores utilizados para la identificación del ADN “están situados en partes no codificantes del ADN que no revelan las características genéticas del detenido. Si bien la ciencia siempre puede avanzar y esos progresos pueden llegar a tener trascendencia desde la perspectiva de la cuarta enmienda, los alelos en los marcadores CODIS no suministran actualmente otra información que la relativa a la identidad del sujeto.” En definitiva, la limitada incidencia que el análisis de ADN que se pretendía realizar y efectivamente se llevó a cabo tuvo en el derecho a la intimidad del demandante tolera en el caso concretamente analizado la omisión de la autorización judicial en un ámbito en el que, como hemos ya advertido, no constituye una exigencia constitucional directa.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porque la actuación pericial, al ceñirse a las regiones de ADN no codificante, se ajustó a los estándares proporcionados por la normativa nacional e internacional reguladora del uso forense del ADN, con lo que se asegura que no se va más allá de la identificación neutral del sujeto. Tal normativa estaba constituida a la sazón por la Resolución del Consejo, de 25 de junio de 2001, relativa al intercambio de resultados de análisis de ADN (2001/C 187/01) —actualizada luego por la Resolución del Consejo de 30 de noviembre de 2009—, por la cual se insta a los Estados miembros a que limiten los resultados de análisis de ADN a las zonas cromosómicas que no contengan ningún factor de expresión de información genética, es decir, a las zonas cromosómicas que no contengan información sobre características hereditarias específicas. En el correspondiente anexo se especifican y enumeran los marcadores de ADN respecto de los que no se tiene constancia de que contengan información sobre características hereditarias específicas, recomendando a los Estados miembros que estén vigilantes a los avances científicos y preparados para borrar los resultados de análisis de ADN si dichos resultados contienen información sobre características hereditarias específicas. En el ámbito internacional, el Tratado entre el Reino de Bélgica, la República Federal de Alemania, el Reino de España, la República Francesa, el Gran Ducado de Luxemburgo, el Reino de los Países Bajos y la República de Austria relativo a la profundización de la cooperación transfronteriza, en particular en materia de lucha contra el terrorismo, la delincuencia transfronteriza y la migración ilegal, hecho en Prüm el 27 de mayo de 2005 (“BOE” núm. 307, de 25 de diciembre de 2006), obliga a los Estados parte a servirse “exclusivamente de perfiles de ADN obtenidos a partir de la parte no codificante del ADN”.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porque, aun cuando el análisis jurídico de las cuestiones suscitadas exige un estudio individualizado de las distintas fases de la actuación policial controvertida, no puede desconocerse que las circunstancias concretas del caso, consideradas en su globalidad, requerían una actuación urgente. Así, la eventual eficacia probatoria de los restos biológicos contenidos en el cigarrillo requería su rápida recogida, su urgente remisión a los laboratorios adecuados para su conservación y su pronto análisis, evitando todo riesgo de degradación de la muestra, contribuyendo a asegurar la cadena de custodia y minorando las posibilidades de contaminación de la muestra mediante el tratamiento de la misma siguiendo los protocolos ordinarios de actuación.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cuarto lugar, porque el conjunto normativo entonces vigente, a diferencia de lo que ocurre con otros derechos fundamentales respecto de los que la Constitución y la Ley de enjuiciamiento criminal sí exigen resolución judicial que autorice las injerencias en los mismos (arts. 18.2 y 3, y 20.5 CE), no prevé expresamente la intervención judicial con carácter necesario.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quinto lugar, porque la merma del control judicial que podría haberse derivado de la falta de autorización judicial se vio desvanecida por la aportación al proceso del resultado del análisis comparativo realizado tan pronto como estuvo disponible, momento a partir del cual la autoridad judicial se encontraba en disposición de realizar por sí el juicio de ponderación sobre la diligencia pericial efectuada, así como de acordar la práctica de un nuevo análisis o de completar el ya realizado, bien por propia iniciativa o bien a solicitud de la representación procesal del demandante de amparo. A diferencia de lo que acontece con pruebas irrepetibles, como las intervenciones telefónicas, el carácter pericial de la diligencia practicada y la disponibilidad de las muestras a analizar hacen que la pericia pueda no sólo ser sometida a debate en cuanto a sus conclusiones, sino que incluso pudiera ser reiterada con autorización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el respeto al principio de proporcionalidad de la medida enjuiciada exige, tal como ya hemos avanzado, constatar que la medida adoptada sea susceptible de conseguir el objetivo propuesto (juicio de idoneidad); necesaria, en el sentido de que no exista otra medida más moderada para la consecución de tal propósito con igual eficacia (juicio de necesidad); y, finalmente, que sea ponderada o equilibrada, por derivarse de ella más beneficios o ventajas para el interés general que perjuicios sobre otros bienes o valores en conflicto (juicio de proporcionalidad en sentido estricto).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la doctrina expuesta conduce a afirmar el respeto al principio de proporcionalidad en la realización del análisis de ADN del demandante de amparo toda vez que: i) su comparación con el obtenido a partir del resto biológico hallado resultaba un medio adecuado para revelar la identidad de este último (idoneidad); ii) no existía un medio alternativo para comprobar si el demandante había participado o no en los hechos delictivos enjuiciados (necesidad); y, finalmente, iii) el modo en el que el análisis del ADN se practicó fue el menos invasivo de la intimidad personal en cuanto sólo afectó a las regiones no codificantes del ADN, esto es, a aquellas que tan sólo proporcionan datos identificativos mediante un análisis comparativo con el ADN obtenido a partir de otra muestra, excluyéndose por ello la revelación o puesta de manifiesto de toda característica personal que afectase a la intimidad personal. Es decir, la injerencia en el derecho fundamental consistió en el riesgo de comprometer la intimidad personal del demandante de amparo, riesgo que no llegó a materializarse (STC 199/2013, de 5 de diciembre,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estrecha relación con la queja que acabamos de examinar, se alega por el demandante la infracción del derecho de “autodeterminación informativa” previsto en el art. 18.4 CE, a causa de que la Ertzaintza habría procedido a incluir en una base de datos informatizada el resultado del análisis de las muestras genéticas, sin ningún tipo de control administrativo ni de otro orden, y sin que se conozca quiénes tienen acceso a tales datos ni quiénes son sus responsables, así como tampoco si esos datos personales van a ser utilizados para otros fines, durante cuánto tiempo se conservarán y si podrán ser utilizados en futuros procedimientos penales. A su juicio, la policía autonómica actuó al margen de la normativa vigente, por lo que estaríamos ante un ataque a la intimidad, al no darse las garantías suficientes y adecuadas en el tratamiento de estos datos de carácter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ya repetida STC 199/2013, de 5 de diciembre, FJ 12, tras recordar la doctrina contenida en la STC 292/2000, de 30 de noviembre, en relación con el derecho a la protección de datos, hemos afirmado que no cabe duda acerca de que el perfil de ADN obtenido a partir de una muestra biológica identifica a la persona, pero que no puede decirse que en el indicado perfil genético (el obtenido con efecto identificativo neutral) se incorporen otro tipo de datos que puedan contribuir a configurar un perfil o caracterización de la persona en sus aspectos “ideológico, racial, sexual, económico o de cualquier otra índole, o que sirvan para cualquier otra utilidad que en determinadas circunstancias constituya una amenaza para el individuo” (STC 292/2000, de 30 de noviembre, FJ 6), que es el ámbito de protección dispensada por el art. 18.4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ha de resaltarse que la identificación del demandante de amparo no se produjo como consecuencia de la incorporación de su perfil genético identificativo a una base de datos de personas sospechosas, sino que derivó de su comparación con los perfiles de ADN correspondientes a personas desconocidas que habían sido obtenidos a partir de muestras biológicas halladas en vestigios de otros hechos delictivos. De modo que de haberse producido la incorporación de sus datos se trataría de una actuación sin incidencia en el acto del poder público frente al que se demanda en amparo. Por lo demás nada impediría al demandante reaccionar contra esta pretendida e hipotética conservación de su perfil de ADN solicitando la eliminación del perfil de la base de datos a la que afirma que se incorporaron, lo que no consta haberse efectuado, de suerte que la lesión denunciada no sólo se construye sobre hechos no acreditados cumplidamente sino que tampoco se habrían agotado los remedios disponibles para lograr su reparación, primero ante la Administración y luego, en su caso, ante la jurisdicción ordinaria, en términos semejantes a los acontecidos en caso resuelto en la STEDH de 4 de diciembre de 2008, caso S. y Marper c. el Reino Unido.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ya hemos señalado que la obtención de los caracteres identificativos del demandante a partir del análisis de los sectores no codificantes de su ADN se produjo para una finalidad constitucionalmente legítima, como es la investigación de graves delitos relacionados con actividad de violencia callejera. Pues bien, “el derecho a la protección de datos no es ilimitado, y aunque la Constitución no le imponga expresamente límites específicos, ni remita a los poderes públicos para su determinación como ha hecho con otros derechos fundamentales, no cabe duda de que han de encontrarlos en los restantes derechos fundamentales y bienes jurídicos constitucionalmente protegidos, pues así lo exige el principio de unidad de la Constitución” (STC 292/2000, de 30 de noviembre, FJ 11, con remisión a las SSTC 11/1981, de 8 de abril, FJ 7; 196/1987, de 11 de diciembre, FJ 6; y respecto del art. 18, a la STC 110/1984, de 26 de noviembre, FJ 5). Pero es que tampoco consta que el perfil haya sido utilizado para una finalidad distinta de aquella para la que se obtuvo, ni que haya sido objeto de cesión o tratamiento distinto de aquél para el que se obtuvo.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Rechazada, por las razones ya expuestas, la queja referida a la infracción del derecho a la presunción de inocencia (art. 24.2 CE) que la demanda sustenta en que los órganos judiciales hubiesen apreciado como prueba de cargo el análisis de ADN realizado sin autorización judicial, debemos descartar también que el mencionado derecho a la presunción de inocencia haya resultado infringido por falta de intervención judicial en el momento de la toma de los restos biológicos contenidos en el cigarrillo (por las razones expuestas en relación con la innecesariedad de la autorización judicial para la realización del análisis) o por falta de preservación de la denominada cadena de custodia de la muestra biológica obtenida, esto es, el aseguramiento de que la muestra recogida fue la misma que sirvió para el análisis comparativo posteriormente efectuado con el perfil de ADN obtenido a partir de la prenda recogida en el lugar de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igual forma a como hemos apreciado en la STC 199/2013, de 5 de diciembre, FJ 4 c), debemos ahora consignar que la cuestión fue abordada en la Sentencia de la Audiencia Nacional que condenó al recurrente, alcanzando la conclusión de que no existía duda acerca de la identidad de las muestras analizadas, en consideración al contenido de las declaraciones efectuadas en el juicio oral por los policías que las recogieron, quienes dieron explicaciones sobre los protocolos y métodos de obtención, de las clases de análisis que se efectuaron, de su conservación, y de cómo adoptaron las medidas oportunas para evitar la contaminación de los objetos que contenían las muestras biológicas, ratificándose en las actuaciones que constaban en autos y sometiéndose tanto a las preguntas de la acusación como de la defensa. Se trata, por tanto, de una cuestión de hecho que no puede ser objeto de pronunciamiento por parte de este Tribunal [art. 44.1 b) de la Ley Orgánica del Tribunal Constitucional] más que respecto a la regularidad y suficiencia de los medios de prueba que condujeron a dar por acreditado el hecho. En todo caso, el dato al que se refiere la prueba no es estrictamente el hecho delictivo, sino un aspecto parcial de uno de los medios de prueba, siendo doctrina asentada del Tribunal (STC 126/2011, de 18 de julio, FJ 22, entre otras) que “el derecho fundamental a la presunción de inocencia no puede ser invocado con éxito para cubrir cada episodio, vicisitud, hecho o elemento debatido en el proceso penal, o parcialmente integrante de la resolución final que le ponga término. Los límites de nuestro control no permiten desmenuzar o dilucidar cada elemento probatorio, sino que debe realizarse un examen general y contextualizado de la valoración probatoria para puntualizar en cada caso si ese derecho fue o no respetado, concretamente en la decisión judicial condenatoria, pero tomando en cuenta el conjunto de la actividad probatoria”.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último, también en relación con el derecho a la presunción de inocencia (art. 24.2 CE), aduce el demandante que, con independencia de su queja sobre la ilicitud de la prueba de ADN, no existe prueba de cargo suficiente para la condena, pues, a su juicio, concurren otros elementos probatorios, como las declaraciones prestadas en el juicio oral por algunos testigos, que conducirían a una conclusión contraria a la alcanzada por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dar respuesta a esta queja debemos partir de que, como recuerda la STC 70/2010, de 18 de octubre, el derecho a la presunción de inocencia se configura como el derecho a no ser condenado sin pruebas de cargo válidas, lo que exige una mínima actividad probatoria, realizada con las garantías necesarias, referida a todos los elementos esenciales del delito, y que de la misma quepa inferir razonablemente los hechos y la participación del acusado en los mismos. De este modo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por ilógico o por insuficiente no sea razonable el iter discursivo que conduce de la prueba al hecho probado”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de las dos vertientes en que se desdobla en la demanda el motivo de amparo basado en la vulneración del derecho a la presunción de inocencia (art. 24.2 CE), ya hemos rechazado, con lo afirmado en los fundamentos jurídicos precedentes, la primera de ellas, referida a la utilización de prueba ilícita. Tal como hemos expuesto, el análisis de muestras biológicas del demandante ha sido practicado respetando las exigencias constitucionales y sin lesión de los derechos a la intimidad (art. 18.1 CE) y a la autodeterminación informativa (art. 18.4 CE), por lo que su utilización como prueba no constituye lesión del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responder a la segunda vertiente de la queja, referida a irrazonabilidad de la inferencia a partir de la cual los órganos judiciales concluyen la culpabilidad del recurrente, es preciso traer a colación, brevemente, la doctrina de este Tribunal según la cual, a falta de prueba directa de cargo, también la prueba indiciaria puede sustentar un pronunciamiento condenatorio sin menoscabo del derecho a la presunción de inocencia, siempre que: los hechos bases o indicios estén plenamente probados; los hechos constitutivos del delito se deduzcan precisamente de estos hechos bases completamente probados; se pueda controlar la razonabilidad de la inferencia, para lo que es preciso, en primer lugar, que el órgano judicial exteriorice los hechos que están acreditados, o indicios, y, sobre todo que explique el razonamiento o engarce lógico entre los hechos base y los hechos consecuencia; y, finalmente, que este razonamiento esté asentado en las reglas del criterio humano o de la experiencia común (SSTC 300/2005, de 21 de noviembre, FJ 3; 111/2008, de 22 de septiembre, FJ 3; y 70/2010, de 18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partiendo de “la radical falta de competencia de esta jurisdicción de amparo para la valoración de la actividad probatoria practicada en un proceso penal y para la evaluación de dicha valoración conforme a criterios de calidad o de oportunidad” (SSTC 137/2005, de 23 de mayo, FJ 2, y 111/2008, de 22 de septiembre, FJ 3), sólo cabe considerar vulnerado el derecho a la presunción de inocencia en este ámbito de enjuiciamiento cuando “la inferencia sea ilógica o tan abierta que en su seno quepa tal pluralidad de conclusiones alternativas que ninguna de ellas pueda darse por probada” (SSTC 229/2003, de 18 de diciembre, FJ 4; 111/2008, de 22 de septiembre, FJ 3; 109/2009, de 11 de mayo, FJ 3; y 70/2010, de 18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la doctrina constitucional expuesta, podemos anticipar ya la desestimación del presente motivo de amparo, que ofrece semejanza con el resuelto en la STC 135/2003, de 30 de junio, en la que apreciamos que la existencia de un indicio plenamente acreditado (la presencia de huellas dactilares en el lugar de la acción delictiva) unido a la futilidad del relato alternativo ofrecido por el recurrente, permitía inferir, conforme a las reglas de la lógica, su participación en los hechos, descartando que la conclusión del Tribunal sentenciador fuera excesivamente abierta o indeterminada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acontece también en el presente caso, en el que para estimar acreditada la participación en los hechos del demandante, los órganos judiciales tomaron en consideración la aparición de su huella genética en el lugar de los hechos, debiéndose considerar que la prueba de ADN es prueba directa, y no mero indicio, de que se produjo contacto directo del recurrente con la prenda hallada en la escena delictiva, a partir de lo cual y ante la mera negativa del demandante acerca de su presencia en el lugar cuando ocurrió la acción delictiva, la inferencia de los órganos judiciales de la participación del recurrente en el atentado terrorista se presenta como una conclusión plenamente ajustada a las reglas de la lógica y de la experiencia. Precisamente, en relación con este último elemento hemos afirmado en ocasiones precedentes que si bien la inexistencia o la inconsistencia del relato alternativo no puede sustituir la ausencia de prueba de cargo, so pena de asumir el riesgo de invertir la carga de la prueba, sí puede servir como contraindicio o como elemento de corroboración de los indicios a partir de los cuales se infiere la culpabilidad (por todas, SSTC 142/2009, de 15 de junio, FJ 6; y 128/2011, de 18 de julio,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Ningún otro juicio compete a este Tribunal, pues conviene recordar, de un lado, que nuestra jurisdicción se ciñe a efectuar un control externo, de modo que “el juicio de amparo constitucional versa acerca de la razonabilidad del nexo establecido por la jurisdicción ordinaria, sin que podamos entrar a examinar otras posibles inferencias propuestas por quien solicita el amparo” (STC 220/1998, de 16 de noviembre, FJ 3) y, de otro, que “entre diversas alternativas igualmente lógicas, nuestro control no puede alcanzar la sustitución de la valoración efectuada por los órganos judiciales, ni siquiera afirmar que fuera significativamente más probable un acaecimiento alternativo de los hechos” (STC 124/2001, de 4 de junio, FJ 13).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recurso de amparo interpuesto por don Egoitz Coto Etxeandía.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enero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Adela Asua Batarrita a la Sentencia dictada en el recurso de amparo núm. 10619-2006 avocado al Pleno, al que se adhiere el Magistrado don Luis Ignacio Ortega Álvarez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pleno respeto a la opinión de la mayoría del Tribunal, debo manifestar mi discrepancia con el fallo y con la fundamentación jurídica de la Sentencia dictada, pese a que como ponente de la presente Sentencia y, en dicha condición, recojo en ella la opinión mayoritaria del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cuanto a mi discrepancia me remito a los argumentos expuestos en el Voto particular que formulé a la STC 199/2013, de 5 de diciembre.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treinta de enero de dos mil catorce.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Andrés Ollero Tassara respecto a la Sentencia del Pleno de fecha 30 de enero de 2014 dictada en el recurso de amparo avocado núm. 10619-2006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 90.2 de la Ley Orgánica del Tribunal Constitucional y con el máximo respeto a la opinión de la mayoría dejo constancia de mi opinión discrepante, puesta ya de manifiesto durante la deliberación de la Sentencia, tanto respecto de la fundamentación jurídica como del fallo.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Aunque los hechos enjuiciados en la Sentencia recurrida en amparo merecen el más drástico reproche y generaron sin duda notable alarma social, con las obligadas consecuencias en el plano de la legalidad penal, lamento constatar que desde el plano constitucional se aprecian circunstancias similares a las que me llevaron a formular Voto particular en relación a la reciente Sentencia 199/2013, de 5 diciembre, lo que me obliga a aplicar en el presente caso argumentación idéntica a la entonces expuesta, a la que me remito.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treinta de enero de dos mil catorce.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