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5 de marzo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la Sala de lo Contencioso-Administrativo del Tribunal Supremo en recurso de casación 2187-2100, contra la Sentencia dictada por la Sala de lo Contencioso-Administrativo del Tribunal Superior de Justicia de Valencia en recurso 1665-2006.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marzo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20 de enero de 2011, resolución impugnada en el presente recurso de amparo número 4626-2013.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20 de enero de 2011, en el recurso de casación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4626-2013,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