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77</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19 de marzo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amparo antes referido se impugna providencia y Sentencia de la Sala de lo Contencioso-Administrativo del Tribunal Supremo en recurso de casación 4252-2010, contra la Sentencia dictada por la Sala de lo Contencioso-Administrativo del Tribunal Superior de Justicia de Andalucía en recurso 231-2008.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18 de marzo de 2014, el Magistrado don Juan José González Rivas comunicó a los efectos oportunos que se abstenía de intervenir en el antes indicado recurso de amparo, de conformidad con el art. 80 de la Ley Orgánica del Tribunal Constitucional, por haber formado parte de la Sección Primera de la Sala Tercera del Tribunal Supremo, que dictó el auto de 4 de noviembre de 2010, resolución impugnada en el presente recurso de amparo número 826-2014.</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Juan José González Rivas, Magistrado de esta Sección Tercera del Tribunal Constitucional, la Sección, en virtud de lo previsto en el art. 219.11 de la Ley Orgánica del Poder Judicial, supletoria de la Ley Orgánica del Tribunal Constitucional (art. 80), estima justificada la causa de abstención formulada, puesto que el mencionado Magistrado formó parte de la Sección Primera de la Sala Tercera del Tribunal Supremo, que dictó el Auto de 4 de noviembre de 2010, en el recurso de casación que ha sido impugnado en el presente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Juan José González Rivas en el recurso de amparo número 826-2014,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marzo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