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2010, el Procurador de los Tribunales don Javier Cuevas Rivas, en nombre y representación de don Javier Martinez Izagirre, interpuso demanda de amparo contra el Auto de la Sección Segunda de la Sala de lo Penal de la Audiencia Nacional de 28 de septiembre de 2010, por el que se desestima el recurso de súplica contra el Auto de 3 de septiembre de 2010 en la ejecutoria núm. 82-1997, sobre licenciamiento.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Acordada la admisión a trámite por la Sala Segunda de este Tribunal mediante providencia de 19 de mayo de 2011, por diligencia de ordenación de 23 de octubre de 2013 se solicitó a la Audiencia Nacional que comunicara a este Tribunal cualquier resolución o incidencia procedimental que, a resulta de la STEDH de 21 de octubre de 2013, pudieran afectar a la situación del recurrente de amparo. Remitido por la Audiencia Nacional el Auto de 26 de noviembre de 2013 por el que se acordó la puesta en libertad del recurrente, la Sala, por providencia de 10 de enero de 2014, acordó conceder un plazo de cinco días a las partes personadas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alegaciones mediante escrito registrado el 21 de enero de 2014, en el que consideró que existía pérdida sobrevenida de objeto del recurso de amparo al haberse producido, tras la admisión de la demanda, la reparación por la Audiencia Nacional de la lesión del derecho a la libertad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21 de enero de 2014, en el que consideró que existía pérdida sobrevenida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comparecida presentó alegaciones mediante escrito registrado el 22 de enero de 2014, en el que consideró que debería ser el recurrente el que desista del recurso al haberse decretado el licenciamiento definitivo y, en consecuencia, carecer de virtualidad práctica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por Auto de la Sección Segunda de la Sala de lo Penal de la Audiencia Nacional de 26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del recurrente. En dicho Auto se acordó la inmediata puesta en libertad y se declararon extinguidas las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reconocía que las redenciones debían ser abonadas del tope máximo de treinta años. Precisamente esa fue la pretensión que el demandante sostuvo en su recurso de amparo. Habiéndose decretado la puesta en libertad del recurrente, de conformidad con lo dispuesto en los arts. 80 y 86.1 de la Ley Orgánica del Tribunal Constitucional (LOTC), en relación con el art. 22 de la Ley de enjuiciamiento civil, procede declarar la pérdida de objeto del presente recurso, en tanto que la continuación del proceso no satisface ningún interés.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