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88</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25 de marzo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presente recurso de amparo se impugna Sentencia de 21 de noviembre de 2013 dictada por la Sección Primera de la Sala de lo Contencioso-Administrativo del Tribunal Supremo que desestimó la demanda por error judicial núm. 15-2012 interpuesta contra la Sentencia de 28 de noviembre de 2011 dictada por la Sección Segunda de la Sala de lo Contencioso-Administrativo del Tribunal Superior de Justicia de Castilla y León en recurso de apelación núm. 70-2011.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24 de marzo de 2014 el Magistrado don Ricardo Enríquez Sancho comunicó a los efectos oportunos que se abstenía de intervenir en el antes indicado recurso de amparo, de conformidad con el art. 80 de la Ley Orgánica del Tribunal Constitucional, por haber formado parte de la Sección Primera de la Sala de lo Contencioso-Administrativo del Tribunal Supremo que dictó la Sentencia de 21 de noviembre de 2013, resolución impugnada en el presente recurso de amparo núm. 871-2014.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Ricardo Enríquez Sancho Magistrado de esta Sección Cuarta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de lo Contencioso-Administrativo del Tribunal Supremo que dictó la Sentencia de 21 de noviembre de 2013, resolución que ha sido impugnada en el presente recurso de amparo núm. 871-2014.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Ricardo Enríquez Sancho en el recurso de amparo núm. 871-2014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marzo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