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8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febrero de 2014 tuvo entrada en el Registro General de este Tribunal un escrito de la Sección Cuarta de la Sala de lo Contencioso-Administrativo del Tribunal Supremo, al que se acompaña, junto al testimonio del correspondiente procedimiento, Auto de 17 de enero de 2014, dictado en el recurso de casación núm. 5463-2002, en el que se acuerda promover ante este Tribunal cuestión de inconstitucionalidad respecto del inciso inicial del art. 30.2 de la Ley del Parlamento Vasco 18/1997, de 21 de noviembre, de los colegios profesionales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6 de marzo de 2014 el Magistrado don Juan Antonio Xiol Ríos comunicó su voluntad de abstenerse en el conocimiento de la presente cuestión de inconstitucionalidad por entender que concurría la causa 11 del art. 219 de la Ley Orgánica del Poder Judicial, por haber formado parte, en su condición de Magistrado de la Sala de lo Contencioso-Administrativo del Tribunal Supremo, de la Sección que tramitó el recurso de casación núm. 5463-2002, en el que se ha acordado el planteamiento de la presente cuestión de inconstitucionalidad, adoptando diversas resoluciones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tramitó el recurso de casación en que se ha promovido la presente cuestión de inconstitucionalidad, adoptando diversas resoluciones judiciales,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la cuestión de inconstitucionalidad núm. 1050-2014 y apartarle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