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121</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22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Sentencia de 19 de julio de 2013 y Auto de 27 de diciembre de 2013 dictados por el Pleno de la Sala de lo Contencioso-Administrativo del Tribunal Supremo en el recurso contencioso-administrativo núm. 349-2011, que anularon diversos preceptos del Reglamento 2/2011, de la carrera judicial, aprobado por acuerdo de 28 de abril de 2011, del Pleno del Consejo General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21 de abril de 2014 el Magistrado don Ricardo Enríquez Sancho comunicó a los efectos oportunos que se abstenía de intervenir en el antes indicado recurso de amparo, de conformidad con el art. 80 de la Ley Orgánica del Tribunal Constitucional, por haber formado parte del Pleno de la Sala de lo Contencioso-Administrativo del Tribunal Supremo que dictó la Sentencia de 19 de julio de 2013 y el Auto de 27 de diciembre de 2013, resoluciones impugnadas en el presente recurso de amparo núm. 2282-2014.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del Pleno de la Sala de lo Contencioso-Administrativo del Tribunal Supremo que dictó la Sentencia de 19 de julio de 2013 y el Auto de 27 de diciembre de 2013, resoluciones que han sido impugnadas en el presente recurso de amparo núm. 2282-2014.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2282-2014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