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14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11 de febrero de 2014 y Auto de 7 de marzo de 2014 dictados por la Sección Cuarta de la Sala Tercera, de lo Contencioso-Administrativo del Tribunal Supremo en el recurso de casación núm. 4342-2010.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13 de mayo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Tercera, de lo Contencioso-Administrativo del Tribunal Supremo que dictó la Sentencia de 11 de febrero de 2014 y el Auto de 7 de marzo de 2014 , resoluciones impugnadas en el presente recurso de amparo núm. 2907-2014.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Tercera de lo Contencioso-Administrativo del Tribunal Supremo que dictó la Sentencia de 11 de febrero de 2014 y el Auto de 7 de marzo de 2014, resoluciones que han sido impugnadas en el presente recurso de amparo núm. 2907-2014.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2907-2014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