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20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octubre de 2013, el Procurador de los Tribunales don Javier Cuevas Rivas, en nombre y representación de don Elías Fernández Castañares, interpuso demanda de amparo contra el Auto del Pleno de la Sala de lo Penal de la Audiencia Nacional de 10 de diciembre de 2012, recaído en la ejecutoria núm. 70-1986, por el que se acordó no acceder a la puesta en libertad solicitada por el actor, y contra el Auto de la Sala de lo Penal del Tribunal Supremo, de 23 de mayo de 2013, que inadmitió el recurso de casación interpuesto frente 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que se acordara la admisión a trámite del recurso, por la Sala de lo Penal de la Audiencia Nacional se puso en conocimiento de este Tribunal que por medio de Auto del Pleno de dicha Sala, de 12 de noviembre de 2013, se había acordado la extinción de la responsabilidad criminal y la puesta en libertad del actor, como consecuencia de la Sentencia del Tribunal Europeo de Derechos Humanos de 21 de octubre de 2013, caso Del Río Prada c. España. Una vez recibido el expresado Auto, la Sección Tercera de este Tribunal, por providencia de 11 de febrero de 2014, acordó conceder un plazo de diez días a las partes y al Ministerio Fiscal para que, en virtud del art. 84 de la Ley Orgánica del Tribunal Constitucional, alegaran lo que estimaran conveniente sobre la perdida de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presentó alegaciones mediante escrito registrado el 24 de febrero de 2014, en el que consideró que, habiéndose reestablecido los derechos fundamentales cuyo reconocimiento se reclamaba en la demanda, existía pérdida de objeto del recurso de amparo, por lo que solicitaba el archivo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alegaciones mediante escrito registrado el 10 de marzo de 2014, en el que consideró que existía pérdida sobrevenida de objeto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presentes actuaciones se desprende que por Auto del Pleno de la Sala de lo Penal de la Audiencia Nacional, de 12 de noviembre de 2013, se resolvió hacer extensiva la aplicación de la Sentencia del Tribunal Europeo de Derechos Humanos de 21 de octubre de 2013 por la similitud existente con las pretensiones del demandante de amparo. Y, en consecuencia, tomar como referencia el tope máximo de treinta años para, a partir de él, hacer los descuentos que correspondan por redenciones, y acordar la libertad del recurrente. En dicho Auto se acordó su inmediata puesta en libertad y se declararon extinguidas las responsabilidades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reconocía que las redenciones debían ser abonadas del tope máximo de treinta años. Precisamente esa fue la pretensión que el demandante sostuvo en su recurso de amparo. Habiéndose reconocido como fecha de extinción de su condena el 26 de mayo de 2011, y procedido a la puesta en libertad del recurrente, de conformidad con lo dispuesto en los arts. 80 y 86.1 de la Ley Orgánica del Tribunal Constitucional (LOTC), en relación con el art. 22 de la Ley de enjuiciamiento civil, procede declarar la perdida de objeto del presente recurso, en tanto que la continuación del proceso no satisface ningún interés, al haberse dejado sin efecto el acto lesivo.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