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8 de septiembre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5167-2013, promovido por don P. R. R., representado por el Procurador de los Tribunales doña María Fuencisla Martínez Mínguez y asistido por el Abogado don Fernando Romón Sánchez, contra el Auto de la Sala Primera del Tribunal Supremo de fecha 18 de junio de 2013, que inadmite el recurso de casación contra la Sentencia de 12 de julio de 2012 dictada por la Sección Tercera de la Audiencia Provincial de Badajoz en recurso de apelación 200-2012, desestimatoria del recurso de apelación interpuesto contra la Sentencia de 13 de febrero de 2012, dictada por el Juzgado de Primera Instancia núm. 3 de Mérida en juicio verbal 525-2011. Ha comparecido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septiembre de 2013, la Procuradora de los Tribunales doña María Fuencisla Martínez Mínguez, en nombre y representación de don P. R. R. y bajo la dirección del Abogado don Fernando Romón Sánchez,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Sentencia de fecha 18 de marzo de 2005 el Juzgado de Primera Instancia e Instrucción núm. 2 de Mérida acordó, en los Autos núm. 653-2004, la separación del matrimonio entre don P. R. R. y doña A. I. R. A., atribuyendo la guarda y custodia de los dos hijos menores de edad, N. y A., a la madre y fijando un régimen de visitas a favor del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Tercera de la Audiencia Provincial de Badajoz, con sede en Mérida, desestimó, mediante sentencia de 7 de diciembre de 2005, dictada en los Autos de recurso núm. 503-2005, el recurso de apelación interpuesto por la representación procesal de la progenitora, y confirmó el régimen de visitas acordado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24 de junio de 2011 falleció doña A. I. R. A., pasando a vivir los dos hijos menores con su padre, quien a partir de entonces ostenta con carácter exclusivo la guarda y custodia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procesal de don I. R. G. y doña M. E. A. G., abuelos maternos de los dos nietos, presentaron, en fecha 27 de julio de 2011, demanda solicitando el establecimiento de un régimen de visitas a su favor, sobre la base de lo dispuesto en los arts. 94 y 160 del Código civil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3 de Mérida tramitó los autos de juicio verbal núm. 525-2011 y dictó Sentencia de fecha 13 de febrero de 2012 estimando la demanda y fijando, en su parte dispositiva, un régimen de visitas a favor de los abuelos maternos consistente en fines de semana alternos desde la salida del colegio el viernes hasta el domingo a las 21:00 horas, en invierno y hasta las 22:00 horas en verano; dos días inter semanales, los lunes y miércoles, desde la salida del colegio hasta las 20:00 horas, en invierno, y hasta las 22:00 horas en verano (si los menores tuvieran actividades extraescolares que cercenara en el tiempo de visitas, se sustituye por los martes y jueves con el mismo horario); una semana de vacaciones de Navidad; mitad de las vacaciones de Semana Santa y un mes en verano.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fundamenta su decisión en el principio del favor filii, tomando en cuenta lo estipulado en los arts. 94 y 160 CC, y razonando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ha quedado acreditado que los niños han mantenido una relación muy estrecha con los abuelos, puesto que la custodia de éstos la tenía la madre, la cual necesitaba la asistencia de aquéllos cuando tenía que trabajar, pernoctando los niños con los abuelos en ocasiones, los cuales se encargaban de llevarlos y traerlos del colegio.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padre desde el divorcio en el 2005, disfruta de un régimen de visitas normalizado, teniendo la custodia de los menores desde el fallecimiento de la madre en junio de 2011, e impidiendo las relaciones solicitadas desde julio, según refiere, porque los abuelos le insultan lo que provoca angustia en N., la hija de 11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dicha angustia viene provocada por el enfrentamiento directo de los abuelos con la pareja de su padre, la cual carece de importancia según el perito que ha depuesto a favor del propio demandado, puesto que el estrés desaparecería en una situación normalizada, cuando conozca que tiene que estar con los abuelos un tiempo, o si evita el enfrentamiento con la pareja de su padre o los abuelos dejan de referirse al padre con expresiones insultantes.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añade, que la menor no se niega a tener relaciones con los abuelos, no existiendo, ni siquiera dicho estrés, en el menor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valorando que las relaciones de los menores con su familia materna son beneficiosas para éstos, según lo fundamentado más arriba, y no existiendo justa causa que impida la limitación del derecho, la sentencia ha de ser 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del padre interpuso recurso de apelación impugnando el régimen de visitas concedido a los abuelos maternos, por su excesiva amplitud y extensión.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Tercera de la Audiencia Provincial de Badajoz, con sede en Mérida, acordó la incoación de rollo de apelación núm. 200-2012. Por Sentencia de 12 de julio de 2012 acordó desestimar la apelación y confirmar el pronunciamiento de primera instancia, con el siguiente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particulares circunstancias de este caso, no solo derivadas de la edad de los menores, sino de las tensas relaciones entre la familia materna y el padre aconsejan el régimen descrito en la sentencia de instancia, pues no hay que dejar de reconocer que en esta materia ha de primar el interés y beneficio del menor y que corresponde a ambas partes procurarlo, buscando una situación normalizada, que no se funde en situaciones que puedan derivar conflictivas y que resulten los más amigablemente posible para los motivos. No hay motivos para modificar el régimen que la Juez de instancia ha establecido que nos parece el más adecuado al caso presente atendiendo la correcta valoración de la prueba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nos parece razonable y ponderado el criterio indicado por la Juez de instancia sin que el recurrente haya aportado ningún dato trascendental que permita desvirtuar los razonamientos de la sentencia apelada, entendiendo que el régimen de visitas, es suficiente, amplio, flexible y adecuado a las necesidades particulares y permite a los menores mantener la imprescindible relación afectiva con sus abuelos.”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procesal de don P.R.R. interpuso recurso de casación que fundamentó en el ordinal 3 del art. 477.2 de la Ley de enjuiciamiento civil (LEC), por presentar la Sentencia interés casacional al oponerse a la doctrina jurisprudencial del Tribunal Supremo, alegando la infracción de los arts. 94.2 y 160 CC, pues el régimen de visitas y comunicación con los abuelos maternos era excesivo e inadecuado para los menores y no se ajustaba al principio del favor filii.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Civil del Tribunal Supremo, en el recurso núm. 2606-2012, acordó, por Auto de 18 de junio de 2013, la inadmisión del recurso de casación por inexistencia de interés casacional, basada en los siguientes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jurisprudencial relativa a esta materia establece que en el régimen de visitas y comunicación con los abuelos se permite una flexibilidad al juez para fijarla, atendiendo siempre en primer lugar al interés superior de los menores y por otro lado valorando las circunstancias concretas del caso. Partiendo de lo anterior, las alegaciones de la parte recurrente no pueden ser acogidas, atendiendo a las conclusiones expuestas de forma motivada en el Fundamento de Derecho Primero -confirmando íntegramente la fundamentación de la sentencia dictada en primera instancia-, el cual, no solo no infringe la doctrina jurisprudencial destacada por la parte recurrente, sino que la aplica y atempera al caso concreto, y previa valoración del conjunto probatorio, concluye que el régimen de visitas de los menores con sus abuelos maternos acordado en la sentencia impugnada resulta, atendidas las circunstancias personales y familiares de estos, la más adecuada para su estabilidad. Por lo tanto, se ha de concluir que lo que verdaderamente pretende la parte recurrente es una nueva y favorable valoración de la prueba practicada, valoración que excede ampliamente del objeto del presente recurso de casación en el cual únicamente se constata la infracción de las normas sustantivas aplicables sin alteración de los hechos que la sentencia recurrida haya fijado como debidamente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que las resoluciones judiciales objeto de impugnación lesionaron el art. 24.1 CE, al llevar a cabo una interpretación irracional de los arts. 94 y 160 CC, como consecuencia de fijar en favor de los abuelos maternos un régimen de comunicación y estancia de sus hijos menores igual al que le correspondería al progenitor no custodio.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el derecho de comunicación y visita de los nietos con los abuelos es totalmente distinto al establecimiento de un régimen de estancia que corresponde exclusivamente a los progenitores, en su condición de titulares de la patria potestad, por lo que el régimen de visitas establecido en favor de los abuelos maternos es no solo contrario a lo previsto en el Código civil, sino también a sus principios inspiradores y a los derechos del menor de los que se hace eco el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recurrente afirmando que el contenido del derecho a relacionarse personalmente con los nietos que se reconoce a los abuelos nunca en modo alguno puede equipararse al derecho de estancia reconocido legalmente únicamente a los padres, toda vez que estamos ante figuras jurídicas de diferente naturaleza y que responden a finalidades distintas, por lo que estamos ante una flagrante vulneración del derecho a la tutela judicial efectiva (art. 24.1 CE), por aplicación irracional y arbitraria de las normas jurídicas aplicables, en directa conexión con los derechos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febrero de 2014 la Sala Segunda de este Tribunal acordó la admisión a trámite de la demanda de amparo presentada y, de conformidad con lo dispuesto en el art. 51 de la Ley Orgánica del Tribunal Constitucional (LOTC), dirigir atenta comunicación a la Sala Primera del Tribunal Supremo, así como a la Sección Tercera de la Audiencia Provincial de Badajoz y al Juzgado de Primera Instancia núm. 3 de Mérida, a fin de que remitieran certificación o copia adverada de las actuaciones y que se procediera al emplazamiento de quienes hubieran sido parte en el proceso para que en el plazo de diez días pudieran comparecer en este proceso constitucional de amparo. Asimismo, se acordó formar pieza separada de suspensión, solicitada por el recurrente en escrito de fecha 28 de enero de 2014, que, una vez tramitada, fue denegada por Auto de fecha 24 de marzo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Segunda de este Tribunal de fecha 22 de abril de 2014 se acordó, con arreglo al art. 52 LOTC, conceder al Ministerio Fiscal y a las partes personadas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5 de mayo de 2014 el demandante presentó alegaciones ratificando las ya formuladas en su escrito de demanda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18 de junio de 2014 el Ministerio Fiscal presentó su escrito de alegaciones, en el que se solicita la estimación del amparo por vulneración del derecho fundamental a la tutela judicial efectiva del art 24.1 CE, en su manifestación de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primer lugar, que la interpretación de la legalidad aplicable es competencia exclusiva de los Tribunales ordinarios (ex art. 117.3 CE). No obstante, ello no impide que este Tribunal pueda, precisamente por la vía del recurso de amparo, controlar la interpretación y aplicación que de la norma han realizado los Jueces y Tribunales, a los efectos de comprobar que la misma no resulte manifiestamente arbitraria o irracional. El canon de razonabilidad constitucional deviene más exigente cuando se encuentran implicados valores y principios de indudable relevancia constitucional, como sucede en el presente caso, al invocarse por el demandante de amparo el principio del interés superior del menor que tiene su proyección constitucional en el art. 39 CE, y añade que el derecho a las relaciones personales que se reconoce a los abuelos con sus nietos no participa del mismo fundamento que el derecho de relación personal que se atribuye a los progenitores no custodios, que siguen ostentando la titularidad de la patria potestad, respecto de sus hijos menores, y ambos, por tanto, participan de una naturaleza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entiende que la argumentación de la Sentencia incurre en irrazonabilidad desde el plano constitucional, pues la decisión de reconocer a los abuelos maternos el derecho a relacionarse con sus nietos va seguida, a continuación, de una declaración de estimación de la demanda en su totalidad, que le lleva a aprobar un amplio régimen de visitas, incluso, en algunos aspectos, más extenso que el solicitado por los propios actores. La censura constitucional que cabe hacer a esta decisión discurre en dos líneas diferenciadas. La primera, consistente en que la decisión judicial está basada en la equiparación automática que lleva a cabo del derecho a las relaciones personales entre nietos y abuelos con el derecho a las relaciones personales del progenitor no custodio, y la segunda va dirigida a constatar que, en la aplicación de los preceptos legales, se prescindió de toda ponderación del interés superior del menor, como principio constitucional inspirador de toda decisión judicial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que las resoluciones judiciales impugnadas vulneraron el derecho fundamental a la tutela judicial efectiva (art. 24.1 CE), al llevar a cabo una interpretación y aplicación de los preceptos legales alejada de su concreto fundamento y naturaleza, y sin una ponderación concreta del interés de los nietos menores, como criterio inspirador, en orden a fijar el contenido y alcance del derecho a mantener relaciones personales con sus abuelos, como así se preceptúa en el párrafo segundo del art. 94 CC, lesión que no fue reparada por el Auto de fecha 18 de junio de 2013 dictado por la Sala de lo Civil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septiembre,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el Auto de la Sala Primera del Tribunal Supremo de fecha 18 de junio de 2013, que inadmite el recurso de casación contra la Sentencia de 12 de julio de 2012 dictada por la Sección Tercera de la Audiencia Provincial de Badajoz en recurso núm. 200-2012, desestimatoria de la apelación interpuesta contra la Sentencia de 13 de febrero de 2012, dictada por el Juzgado de Primera Instancia núm. 3 de Mérida en juicio verbal 525-2011.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del derecho a la tutela judicial efectiva del art. 24.1 CE, al estimar que las resoluciones judiciales que reconocieron un amplio régimen de visitas de sus hijos menores a los abuelos maternos llevaron a cabo una interpretación irracional y arbitraria de los arts. 94 y 160 del Código civil, al equipararlo al régimen de visitas del progenitor no custodio, lesionando con ello el derecho fundamental invocado, que conecta con la protección de los derechos de los menores que establece el art. 39 CE y con el principio del favor filii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hemos recordado en la STC 64/2010 de 18 de octubre, FJ 3, “el derecho fundamental a la tutela judicial efectiva (art. 24.1 CE) no incluye un pretendido derecho al acierto judicial en la selección, interpretación y aplicación de las disposiciones legales, pero sí comprende, entre otras dimensiones, el derecho a obtener una resolución judicial motivada que, a su vez, según la doctrina constitucional, presenta varias manifestaciones. Supone, en primer lugar, que la resolución ha de estar suficientemente motivada, es decir, contener los elementos y razones de juicio que permitan conocer cuáles han sido los criterios jurídicos que fundamentan la decisión; y en segundo lugar, que la motivación debe contener una fundamentación en Derecho, lo que conlleva la garantía de que la decisión no sea consecuencia de una aplicación arbitraria de la legalidad, ni resulte manifiestamente irrazonable, incursa en un error patente o en una evidente contradicción entre los fundamentos jurídicos, o entre éstos y el fallo, ya que, en tal caso, la aplicación de la legalidad sería tan sólo una mera apariencia (SSTC 147/1999, de 4 de agosto, FJ 3; 25/2000, de 31 de enero, FJ 2; 87/2000, de 27 de marzo, FJ 3; 82/2001, de 26 de marzo, FJ 2; 221/2001, de 31 de octubre, FJ 6; 55/2003, de 24 de marzo, FJ 6; 223/2005, de 12 de septiembre, FJ 3; y 276/2006, de 25 de septiembre,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venido afirmando que son los órganos judiciales los únicos competentes, ex art. 117.3 CE, para resolver sobre las materias de estricta legalidad ordinaria, si bien también hemos advertido que sus decisiones pueden ser objeto de revisión en vía de amparo si resultan inmotivadas o manifiestamente irrazonables o arbitrarias, pues, en tal caso, vulnerarían el derecho fundamental a la tutela judicial efectiva del art. 24.1 CE (STC 148/1994, de 12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objeto de enjuiciamiento, el canon de razonabilidad constitucional deviene más exigente por cuanto que se encuentran implicados valores y principios de indudable relevancia constitucional, al invocarse por el demandante de amparo el principio del interés superior del menor que tiene su proyección constitucional en el art. 39 CE y que se define como rector e inspirador de todas las actuaciones de los poderes públicos, tanto administrativas como judiciales ( SSTC 141/2000, de 29 de mayo, FJ 5, y 127/2013, de 3 de junio, FJ 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Convención de Naciones Unidas sobre los derechos del niño de 20 de noviembre de 1989 dispone que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(art. 3.1), lo que también define nuestra legislación (Ley Orgánica 1/1996, de 15 de enero) y la jurisprudencia de este Tribunal (por todas, STC 124/2002, de 20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proyección de estos criterios en la cuestión planteada permite analizar si en este caso puede considerarse fundada la decisión de los órganos judiciales que, al amparo de los artículos 94 y 160 del Código civil, atribuyen a los abuelos maternos un régimen de visitas de contenido análogo al de progenitor no custodio.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hay que precisar es que la determinación de la extensión del régimen de visitas y comunicación de los abuelos con los nietos es una cuestión de legalidad, máxime al ostentar el padre la patria potestad sobre sus hijos, cuya concreción corresponde a los Tribunales ordinarios, ponderando el interés superior del menor y valorando las circunstancias concretas del caso, por lo que nuestro canon de enjuiciamiento debe discurrir en la perspectiva del derecho constitucional a obtener una resolución fundada, en los términos expuestos en el anterior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ha quedado expresado en los antecedentes, el Juzgado de Instancia se pronunció sobre dos cuestiones distintas: i) reconoció a los abuelos maternos el derecho a relacionarse con sus nietos, al entender que no existía justa causa impeditiva; y ii) a continuación, aprobó un amplio régimen de visitas, análogo al que es habitual establecer en el caso de progenitor no custodio e incluso, en algunos aspectos, más extenso que el solicitado por los propios abuelos. La Sentencia, si bien razona extensamente la primera de las cuestiones, esto es, que no existe causa impeditiva para que los nietos se relacionen con los abuelos, omite toda motivación en relación a la segunda, puesto que fija el derecho a la comunicación y visita con los abuelos maternos de forma infundada, sin exteriorizar ninguna ponderación sobre la proyección que pudiera tener para el interés de los menores este concreto régimen de visitas. Por tanto, el órgano a quo prescindió de un examen de las circunstancias concurrentes a la hora de fijar el contenido y la extensión del derecho a las relaciones personales de los abuelos maternos con sus nietos menores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Sentencia de la Audiencia Provincial se limitó a responder genéricamente al recurso planteado por el demandante en cuanto a la extensión del régimen de visitas, afirmando abstractamente que “no hay motivos para modificar el régimen que la Juez de instancia ha establecido, que nos parece el más adecuado al caso presente atendiendo a la correcta valoración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Auto de inadmisión del recurso de casación dictado por el Tribunal Supremo no repara la lesión denunciada al no apreciar interés casacional en el recurso interpuesto apoyándose en la valoración de la prueba realizada por los órganos de instancia que, como hemos expresado, no había resultado exteriorizada a la hora de determinar la extensión y contenido del régimen de visitas.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citada fundamentación de los órganos judiciales, examinada desde el canon de razonabilidad al que se hacía referencia en el fundamento jurídico 3, reforzado por la conexión con el principio de interés del menor del art. 39 CE, debe entenderse lesiva desde la perspectiva constitucional desde el momento en que hay una absoluta falta de ponderación del citado principio a la hora de decidir sobre la extensión del derecho de comunicación y visita de los abuelos con los nietos.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judicial sobre la conformación del régimen de visitas de los abuelos con los nietos se fundamenta en una genérica traslación del régimen de visitas para progenitores no custodios, sin ningún elemento de individualización y sin ninguna referencia al interés de los menores. Tanto en la resolución de instancia como en las resoluciones posteriores, y una vez razonada la inexistencia de elemento impeditivo para la comunicación entre abuelos y nietos, se menciona genéricamente la adecuación o conveniencia de este amplio régimen de visitas, sin concretar los elementos del acervo probatorio que determinarían la idoneidad desde la perspectiva del interés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existe una absoluta falta de ponderación del principio del interés superior del menor en este ámbito decisional, que torna a la resolución dictada en infundada, desde el canon constitucional exigido por el derecho a la tutela judicial efectiva (art. 24.1 CE en relación con el art. 39 CE), por lo que debe estimarse la demanda de amparo y restablecer al recurrente en la integridad del derecho fundamental vulnerado, anulando las resoluciones judiciales impugnadas, retrotrayendo las actuaciones al momento anterior a dictarse la Sentencia de primera instancia para que se dicte nueva resolución judicial respetuosa con el derecho fundamental lesionado.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P. R. R.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de 13 de febrero de 2012, dictada por el Juzgado de Primera Instancia núm. 3 de Mérida en juicio verbal 525-2011, así como de la Sentencia de 12 de julio de 2012 dictada por la Sección Tercera de la Audiencia Provincial de Badajoz en recurso de apelación 200-2012 y del Auto de la Sala Primera del Tribunal Supremo de fecha 18 de junio de 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 haberse dictado la primera de las referidas resoluciones, para que se dicte una nueva resolución judicial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septiembre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