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21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julio de 2009, la Procuradora de los Tribunales doña Esther Rodríguez Pérez, en nombre y representación de don Pedro José Picabea Ugalde, interpuso recurso de amparo contra el Auto de 11 de marzo de 2009 dictado por la Sala de lo Penal del Tribunal Supremo en el recurso de casación núm. 10696-2008 y contra el Auto de la Sección Tercera de la Sala de lo Penal de la Audiencia Nacional de 13 de septiembre 2007, dictado en la ejecutoria núm. 14-200, sobre acumulación de condenas y cómputo de beneficios penitenciarios.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Encontrándose pendiente de resolución el presente recurso de amparo, la Sección Primera de este Tribunal, por providencia de 28 de abril de 2014, acordó recabar de la Sección Tercera de la Sala de lo Penal de la Audiencia Nacional testimonio de las nuevas liquidaciones practicadas y aprobadas en la ejecutoria 14-2005 con posterioridad al dictado de la STEDH, Gran Sala de 21 de octubre de 2013 (caso Inés del Río Prada c. España). Recibidas las actuaciones interesadas y a la vista de la nueva liquidación de condena practicada al demandante de amparo, aprobada mediante providencia de 3 de marzo de 2014, la Sala acordó, mediante providencia de 9 de junio de 2014, conceder un plazo de cinco días a las partes personadas para que, en virtud del art. 84 de la Ley Orgánica del Tribunal Constitucional, alegaran lo que estimaran conveniente sobre la perdida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alegaciones mediante escrito registrado el 24 de junio de 2014, en el que consideró que existía la pérdida sobrevenida de objeto del recurso de amparo, solicitando el archivo delas actuaciones por tal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presentó alegaciones mediante escrito registrado el 18 de junio de 2014, en el que consideró que, pese a haber perdido objeto el recuro de amparo, procedía dictar Sentencia declarando la existencia de la lesión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4 de julio de 2014, el Abogado del Estado formuló alegaciones interesando la declaración de pérdida de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marzo,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los Autos se desprende que, respondiendo a la solicitud del demandante de amparo para que se practicara nueva liquidación de condena y licenciamiento definitivo en aplicación de la STEDH de 21 de octubre de 2013, la Sección Tercera de la Sala de lo Penal de la Audiencia Nacional ordenó practicar nueva liquidación de condena. Liquidación que fue aprobada mediante providencia de 3 de marzo de 2014, en la que aparecen abonados los días de redención sobre un máximo de treinta años en el que había sido fijado el máximo de cumplimiento efectivo de las condenas acumuladas en vez de sobre su suma aritmética, que es lo que, según la demanda de amparo, ocasionaba la lesión de sus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satisfecha la pretensión que el demandante sostuvo en su recurso de amparo (aunque se aprecia un error material en el nomen iuris del delito reseñado en la liquidación de condena coinciden los datos identificativos de la ejecutoria),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