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15 de noviembre de 2011 y Auto de 27 de diciembre de 2012 dictados por la Sección Cuarta de la Sala Tercera de lo Contencioso-Administrativo del Tribunal Supremo en el recurso de casación núm. 4344-2009 interpuesto contra la Sentencia de 28 de abril de 2009 dictada por la Sección Primera de la Sala de lo Contencioso-Administrativo del Tribunal Superior de Justicia de Murcia en los recursos contencioso-administrativos núms. 2611-2003 y 2764-2003, acumulados.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Tercera, de lo Contencioso-Administrativo del Tribunal Supremo que dictó la Sentencia de 15 de noviembre de 2011 y el Auto de 27 de diciembre de 2012, resoluciones impugnadas en el presente recurso de amparo núm. 1171-2013.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Tercera de lo Contencioso-Administrativo del Tribunal Supremo que dictó la Sentencia de 15 de noviembre de 2011 y el Auto de 27 de diciembre de 2012, resoluciones que han sido impugnadas en el presente recurso de amparo núm. 1171-2013.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1171-2013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