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octubre de 2013, el Procurador de los Tribunales don Javier Cuevas Rivas, en nombre y representación de don Fernando del Olmo Vega, interpuso recurso de amparo contra el Auto de 23 de mayo de 2013, dictado por la Sala de lo Penal del Tribunal Supremo en el recurso de casación núm. 10242-2013, y contra el Auto del Pleno de la Sala de lo Penal de la Audiencia Nacional de 11 de octubre de 2012, dictado en la ejecutoria núm. 8-1996 de la Sección Segunda de la indicada Sala, sobre acumulación de condenas y cómputo de beneficios penitenciarios.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Encontrándose pendiente de resolución el presente recurso de amparo, la Sección Primera de este Tribunal, por providencia de 6 de marzo de 2014, acordó recabar de la Sala de lo Penal de la Audiencia Nacional testimonio de la nueva liquidación practicada y aprobada en la ejecutoria 8-1996, rollo 10-1991, así como de la resolución dictada en respuesta a la solicitud formulada por el demandante el 30 de diciembre de 3013. Los testimonios interesados fueron recibidos en este Tribunal el 30 de abril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6 de junio de 2014, la representación procesal del demandante de amparo puso en conocimiento del este Tribunal que la Sala de lo Penal de la Audiencia Nacional había dictado providencia de 10 de febrero de 2014 aprobando una nueva liquidación de condena aplicando los criterios establecidos en la STEDH de 21 de octubre de 2013, dictada por la Gran Sala en el caso Inés del Río Prada c. España. Al haber accedido el órgano judicial a su inicial petición, solicitaba el archivo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junio de 2014, la Sección Primera acordó conceder un plazo de cinco días a las partes personadas para que, de conformidad con lo establecido en 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alegaciones mediante escrito registrado el 1 de julio de 2014. En él alegaba que el órgano judicial había estimado su inicial pretensión mediante providencia de 10 de febrero de 2014, razón por la cual solicitaba el archivo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presentó alegaciones mediante escrito registrado el 18 de julio de 2014, en el que consideró que existía la pérdida sobrevenida de objeto del recurso de amparo, solicitando el archivo de las actuaciones por tal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actuaciones judiciales remitidas a este Tribunal se desprende que la Sección Segunda de la Sala de lo Penal de la Audiencia Nacional, en aplicación de la STEDH de 21 de octubre de 2013, ha aprobado la propuesta de nueva liquidación de condena formulada el 24 de enero de 2014 por la Administración penitenciaria en la que se propone el día 7 de octubre de 2015 como fecha de cumplimiento de las condenas impuestas al demandante. En ella el abono de los beneficios penitenciarios se realiza partiendo del máximo de cumplimiento de treinta años resultante de la acumulación de las condenas impuestas al demandante en vez de sobre su suma aritmética, que es lo que, según la demanda de amparo, ocasionaba la lesión de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satisfecha la pretensión que el demandante sostuvo en su recurso de amparo, de conformidad con lo dispuesto en los arts. 80 y 86.1 de la Ley Orgánica del Tribunal Constitucional (LOTC), en relación con el art. 22 de la Ley de enjuiciamiento civil, procede acceder a la solicitud formulada por el propio demandante de amparo y declarar la pérdida de objeto del presente recurso, en tanto que la continuación del proceso no satisface ya ningún interés.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