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6 de febrero de 2014 dictado por la Sección Primera de la Sala Tercera de lo Contencioso-Administrativo del Tribunal Supremo en el recurso de casación núm. 1806-2013 interpuesto contra Sentencia de 19 de marzo de 2013 dictada por la Sección Tercera de la Sala de lo Contencioso-Administrativo de la Audiencia Nacional en el recurso núm. 358-2011.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5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6 de febrero de 2014 resolución impugnada en el presente recurso de amparo núm. 2264-2014.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 6 de febrero de 2014 resolución que ha sido impugnada en el presente recurso de amparo núm. 2264-2014.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2264-2014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