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5011-2011, interpuesto por la Xunta de Galicia contra los artículos 128 a 131 de la Ley 39/2010, de 22 de diciembre, de presupuestos generales del Estado para el año 2011, así como contra los capítulos, secciones, servicios y conceptos en ellos citados. Ha sido Ponente el Magistrado don Ricardo Enríquez Sancho,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16 de septiembre de 2011 el Letrado de la Xunta de Galicia, en la representación que legalmente ostenta, interpone recurso de inconstitucionalidad contra el capítulo II del título VII (artículos 128 a 131) de la Ley 39/2010, de 22 de diciembre, de presupuestos generales del Estado para el año 2011 (Ley 39/2010), así como contra los capítulos, secciones, servicios y conceptos en ellos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autonómico recurrente los preceptos impugnados suponen la adopción de una serie de decisiones sobre la financiación autonómica determinantes de una merma muy significativa en los recursos de la Comunidad Autónoma, lo que determina que se entienda vulnerada la autonomía política y la suficiencia financiera de Galicia. Así, se denuncia la infracción de los arts. 2, 9.3, 31.2, 40.1, 137, 138.1, 156.1, 157 y 158, todos ellos de la Constitución, en relación con los arts. 1, 2.1, 3.2 y 4.2 de la Ley Orgánica 8/1980, de 22 de septiembre, de financiación de las Comunidades Autónomas (LOFCA, en lo que sigue), y con los artículos 42, 44 y disposición adicional segunda del Estatuto de Autonomía de Galicia. Igualmente se alega la vulneración del acuerdo del Consejo de Política Fiscal y Financiera 6/2009, relativo al sistema de financiación autonómica, así como de la Ley 22/2009, de 18 de diciembre, por la que se regula el sistema de financiación de las Comunidades Autónomas de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impugnados se les reprocha dos aspectos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no incluyen los créditos o partidas referidas al pago a la Comunidad Autónoma de Galicia de los anticipos de fondos y recursos adicionales del nuevo modelo de financiación correspondiente al año 2011, concretamente el atinente al fondo de cooperación y a los recursos adicionales que, según el art. 6 de la Ley 22/2009, se habían de integrar en el sistema de financiación en el año 2010, incumpliéndose por tanto no sólo lo pactado en el citado acuerdo del consejo de política fiscal y financiera sino, en concreto, la disposición transitoria segunda de la Ley 22/2009, a cuyo tenor el Estado debía haber dotado un anticipo en el año 2011 del cien por cien de los recursos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 de que en 2011 era exigible dotar los citados anticipos se refiere la demanda, en su página 54, a sendas órdenes de la Ministra de Economía y Hacienda, de 23 de diciembre de 2009 y de 22 de marzo de 2010, que respectivamente recogían los citados anticipos, previstos por la citada disposición transitoria segunda de la Ley 22/2009, para los ejercicios 2009 y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la improcedente determinación del fondo de suficiencia global ya que no se habría ajustado a la cifra pactada en la comisión mixta, incumpliéndose determinados requisitos en los cálculos del importe de dicho fondo para el año 2011, incumplimiento que produce el efecto de reducir los ingresos de la Comunidad Autónoma respecto a los pactados en el momento de adoptarse el sistema de financiación autonómica. Esto resulta contrario al denominado status quo, esto es, el parámetro que informa la financiación autonómica y según el cual ninguna Comunidad Autónoma puede perder financiación con el cambio de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lo anterior que el fondo de suficiencia consignado en la sección 36 (sistemas de financiación de entes territoriales), Programa 941M, concepto 451 se ha calculado a partir de un fondo de suficiencia global del año base 2007 que es diferente al que se recogió en el acuerdo de comisión mixta Estado-Comunidad de Galicia de fecha 21 de diciembre de 2009, lo que por sí sólo determinaría ya la vulneración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de presupuestos habría llevado a cabo una regularización del fondo de suficiencia sin cumplir con los requisitos establecidos en el artículo 10.2 de la Ley 22/2009, lo que se confirma por el propio artículo 129, también impugnado, precepto que reconoce que la financiación definitiva del año 2009 se deberá realizar durante 2011 y no, como se ha hecho, en la Ley de presupuestos. La citada regularización deriva en parte de la modificación de los tipos del impuesto sobre el valor añadido (IVA), lo que resulta contrario a la los artículos 20 y 21 de Ley 22/2009 y al art. 13 LOFCA, pues se ha realizado además no sobre datos reales sino sobre meras proyecciones o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todo ello es la reducción de los recursos de los que va a disponer la Comunidad Autónoma para el año 2011 como consecuencia de reducirse, en la forma expuesta, los recursos financieros con los que debería contar de aplicarse correctamente la previsiones del vigente sistema de financiación autonómica, lo que implica la vulneración de la autonomía y suficiencia financieras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total, considera la demanda que las anteriores omisiones le ha ocasionado un perjuicio, en cuanto a financiación que ha dejado de obtener en el ejercicio, de 805,43 millones de euros. Esta reducción, además de incumplir la cláusula del status quo, supone una lesión del principio de seguridad jurídica, además del de autonomía financiera y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octubre de 2011 el Pleno del Tribunal acordó admitir a trámite el recurso de inconstitucionalidad. Asimismo, se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de lo que se llevó a efecto en el de 31 de octubre de 2011 (número 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octubre de 2011 tuvo entrada en el Registro General el escrito del Abogado del Estado, por el que se persona en el procedimiento y solicita que se le prorrogue el plazo de alegaciones del art.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octubre de 2011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31 de octubre de 2011 el Presidente del Congreso de los Diputados comunicó a este Tribunal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octubre de 2011 el Pleno del Tribunal acordó incorporar a las actuaciones el anterior escrito del Abogado del Estado, teniéndole por personado en la representación que legalmente ostenta y prorrogándose en ocho días más el plazo concedido por providencia de 18 de octubre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noviembre de 2011 se registra en el Tribunal el escrito del Abogado del Estado, por el que se interesa la desestimación total del recurso con base en las alegaciones que en lo que sigue se resumen y que coinciden sustancialmente con las presentadas en los recursos de inconstitucionalidad 1425-2011 y 5007-2011.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 alegaciones considerando que la demanda no ha levantado la carga alegatoria, construyendo además de forma incorrecta el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realiza una breve descripción del contenido y finalidad de los dos artículos impugnados, en conexión con el marco jurídico de la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128 regula las entregas a cuentas del fondo de suficiencia global, establecidas en el art. 20.1, en relación con el art. 11.2 de la Ley 22/2009, de 18 diciembre, reguladora del sistema de financiación de las comunidades autónomas de régimen común y ciudades con estatuto de autonomía (Ley 22/2009). Pues bien, esta Ley arbitra mecanismos para garantizar la suficiencia, si bien deben tenerse en cuenta las diferencias entre la denominada “suficiencia estática”, que se centra en la determinación de las necesidades básicas de financiación y recursos financieros del sistema en el año base, y la “suficiencia dinámica”, que se refiere a la evolución del sistema de financiación. Por tanto, esta última abarca las entregas a cuenta o financiación provisional, y las liquidaciones definitivas o financiación definitiva. La financiación de cada Comunidad Autónoma está constituida por el valor definitivo, sin perjuicio de que las entregas a cuenta se basen en previsiones. En concreto, el fondo de suficiencia global es un mecanismo de cierre del sistema de financiación al igual que el homónimo fondo regulado en la Ley 21/2001, que regulaba el anterior sistema de financiación. Así se expuso en la STC 248/2007, de 13 diciembre, FJ 5, con consideraciones son aplicables ahora. En tanto que recurso de cierre del sistema asegura que las necesidades globales de financiación de cada Comunidad Autónoma se cubren con su capacidad tributaria, la transferencia del fondo de garantía y el propio fondo de suficiencia. Esto es, de acuerdo con el art. 10.1 de la Ley 22/2009, el fondo de suficiencia, con referencia al año base, es la diferencia positiva o negativa entre las necesidades globales de financiación, por un lado, y la suma algebraica de su capacidad tributaria (art. 8 de la Ley 22/2009) y la transferencia positiva o negativa del fondo de garantía de los servicios públicos fundamentales (art. 9 de la misma norma), por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de lo que se trata es de la financiación provisional, que se refleja en las entregas a cuenta, el fondo de suficiencia global depende fuertemente en su evolución de la marcha de los ingresos tributarios del Estado en los denominados impuestos compartidos (el denominado ITE al que se refiere el último párrafo del art. 20.2 de la Ley 22/2009), tal y como resulta de la propia fórmula prevista en el art. 20.1 de la misma ley. Pues bien, precisamente por su función de cierre del sistema el valor inicial del fondo de suficiencia (cuyo valor se determina en comisión mixta) debe ser “objeto de regularización y evolucionará de acuerdo a lo previsto en la Ley” (arts. 13.3 LOFCA y 10, apartados 2 y 3, 11 y 20 de la Ley 22/2009) debiendo asimismo revisarse como prevén los arts. 13.4 LOFCA y 21 de la Ley 22/2009, para lo cual no resultan precisos ulteriores acuerdos en comisión mixta (arts. 20.3 y 21.1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129 también impugnado, regula la liquidación definitiva del ejercicio 2009. Esta liquidación definitiva es la primera a la que resulta aplicable la ley 22/2009, y como efectivamente las entregas a cuenta para el ejercicio 2009 se habían basado en unas previsiones de mayor crecimiento económico, a falta de liquidación definitiva de los recursos del sistema para 2009, los mejores datos disponibles en el momento de redactar el anteproyecto de Ley de presupuestos generales del Estado para 2011 revelaban que existiría saldo a favor del Estado, que se recuperará mediante retenciones a practicar a partir del 1 de enero de 2012, según dispone la disposición adicional cuarta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funcionamiento del sistema de relaciones financieras derivado de la aplicación del sistema de financiación de las Comunidades Autónomas, centrándose en el papel de los anticipos a cuenta de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acerca del funcionamiento del sistema, se centra el alegato del Abogado del Estado en los concretos argumentos de inconstitucionalidad, para concluir que no se ha levantado suficientemente la carga de argumentar que la doctrina reiterada de este Tribunal exige para desvirtuar la presunción de constitucionalidad de toda norma susceptible de ser impugnada en esta jurisdicción. Tras citar la extensa doctrina constitucional que alude a la exigencia de dicha carga (por todas, SSTC 248/2007, de 13 de diciembre, FJ 1, y 149/2011, de 28 de septiembre, FJ 1, y  con cita de muchas otras), concluye que la demanda no aporta ni una sola razón constitucional de por qué se recurre el art. 129. Por ello, considera que en su caso la pretendida insuficiencia financiera habrá de entenderse imputada únicamente al art. 128, ya que el art. 129 establece las normas para la liquidación definitiva de la financiación relativa a un ejercicio ya pasado, 2009, por lo que es evidente que carece de todo sentido imputarle que limita los anticipos a cuenta de la liquidación definitiva de 2011, que todavía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el Abogado del Estado la queja de inconstitucionalidad se ciñe a dos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 que la Ley de presupuestos no contiene ningún crédito presupuestario para el pago de anticipos “a cuenta de los fondos y recursos adicionales”, contradiciendo así la disposición transitoria segunda de la Ley 22/2009. En realidad, la demanda parece confundir la figura del anticipo y las entregas a cuenta, de naturaleza muy distinta. Además, y por lo que se refiere a la falta de créditos correspondientes al fondo de cooperación, que se piden como “anticipo”, la demanda cita las cifras prevista en 2007, con respecto a la liquidación definitiva de 2009, lo que constituye un error que priva totalmente de base a la pretensión de inconstitucionalidad en relación con dicha ausencia de crédito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refiere la demanda a las entregas a cuenta del fondo de suficiencia, contenidas en el art. 128, y que se habrían calculado sin ajustarse a lo dispuesto en la Ley 22/2009, puesto que se ha regularizado el fondo sobre la base de meras estimaciones y sin esperar a la liquidación definitiva de 2009, que se llevó a cabo en julio de 2011, lo que sin embargo no es objeto de mención alguna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centradas las cuestiones impugnadas resulta que no puede realmente entenderse impugnado el art. 129, precepto que tan sólo disciplina la liquidación definitiva de los recursos de financiación para 2009, sin que se aporte ni una sola razón de por qué se recurre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excluirse del objeto impugnatorio los arts. 130 y 131 impugnados, con respecto de los cuales la demanda “no contiene argumento alguno” ni “dedica una sola línea”.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128, estima el escrito que carece de sentido imputarle inconstitucionalidad alguna en lo relativo al extremo de los anticipos, pues el artículo 128 tiene por objeto regular “entregas a cuenta” del fondo de suficiencia global, y no “anticipos” como se afirma en la demanda. Se trata sin embargo de figuras distintas, y dado que la regulación de las entregas a cuenta contenida en el art. 128 nada dice en relación con la concesión de anticipos de tesorería por vía extrapresupuestaria, carece de sentido imputar a dicho precepto la restricción o limitación de una figura financiera, como los anticipos, que este precepto no regula. En todo caso, los anticipos a que se refiere la disposición transitoria segunda de la Ley 22/2009 no se establecen de forma taxativa, sino como una posibilidad, que en todo caso podrá revestir la forma de anticipos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concretamente, con el cálculo de las entregas a cuenta reguladas en el artículo 128, se imputa en la demanda insuficiencia cuantitativa, por entender que dichas entregas a cuenta debían haberse calculado de otra manera, lo que no constituye sino su interpretación interesada de la Ley 22/2009, norma que en todo caso no forma parte del bloque de la constitucionalidad. En todo caso, precisamente esta Ley abona la interpretación contraria, y es que resulta preciso que la financiación provisional se adapte y regularice a los datos disponibles en cada momento, de manera que la pretensión actora de que no se regularice ni se revise el fondo de garantía global a efectos de presupuestar las entregas a cuenta de este fondo para 2011 persigue simplemente una financiación provisional superior a la presupuestada. Además destaca el escrito que la demanda, presentada el 16 de septiembre de 2011, tiene por tanto lugar una vez que ya se disponía de las cifras de liquidación definitiva de 2009 que ha venido a demostrar que la presupuestación de las entregas a cuenta se había llevado a cabo de forma correcta, lo que por otro lado es coherente con la estabilidad presupuestaria, en particular tras la reforma del artículo 135 de la Constitución, que debe regir la interpretación de las normas del sistema de financiación. En concreto, la regularización de las entregas a cuenta contenida en el art. 128 impugnado es coherente con lo establecido en la propia Ley 22/2009. En primer lugar, con el propio tenor del art. 11, apartado dos, de la Ley 22/2009, precepto que establece que para la determinación del importe de las entregas a cuenta señaladas en el párrafo anterior se utilizarán las previsiones existentes a la fecha de la elaboración por el Gobierno del anteproyecto de Ley de presupuestos generales del Estado del ejercicio que corresponda. Ello es coherente porque habría sido “no sólo financieramente absurdo sino gravemente perjudicial para la estabilidad macroeconómica y presupuestaria del Estado español que las entregas a cuenta del fondo de suficiencia global de 2011 no tuvieran en cuenta la información disponible en relación con el ejercicio de 2009 en el momento de elaborar el anteproyecto de Ley de presupuestos”. Y, en segundo lugar, en cuanto a la revisión por el aumento de tipos del IVA, en el último párrafo del art. 21 de la misma Ley 22/2009, que ordena claramente la revisión en ese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el Abogado del Estado la desestimación de la pretendida violación del principio de seguridad jurídica, pues a diferencia del supuesto contemplado en las SSTC 238/2007 y 248/2007, FJ 4 en ambos casos, ni siquiera la Ley de presupuestos que ahora se impugna lleva a cabo modificación alguna de la Ley 22/2009, sino que se respeta su tenor, reiterando que la disposición transitoria segunda de dicha ley no tiene carácter imperativo en todo caso. Por otro lado, tampoco ha habido lesión alguna de la certeza o confianza de las Comunidades Autónomas, pues como se acredita por la propia demanda, fueron informadas puntualmente y por escrito de las correspondientes regularizaciones sobre el montante de las entregas a cuenta que incluiría la Ley de presupuestos para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octubre de 2014,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la Xunta de Galicia impugna el capítulo II del título VII (artículos 128 a 131) de la Ley 39/2010, de 22 de diciembre, de presupuestos generales del Estado para el año 2011 (Ley 39/2010), así como los capítulos, secciones, servicios y conceptos en ellos citados. Considera, con los argumentos que han sido resumidos en el antecedente primero, que se vulneran arts. 2, 9.3, 31.2, 40.1, 137, 138.1, 156.1, 157 y 158, todos ellos de la Constitución, en relación con los arts. 1, 2.1, 3.2 y 4.2 de la Ley Orgánica 8/1980, de 22 de septiembre, de financiación de las Comunidades Autónomas (LOFCA, en lo que sigue), y con los artículos 42, 44 y disposición adicional segunda del Estatuto de Autonomía de Galicia. Se alega también la vulneración del Acuerdo del Consejo de Política Fiscal y Financiera 6/2009, relativo al sistema de financiación autonómica, y de la Ley 22/2009, de 18 de diciembre, por la que se regula el sistema de financiación de las Comunidades Autónomas de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resulta evidente, tal y como destaca en sus alegaciones el Abogado del Estado, que su objeto es coincidente con los recursos de inconstitucionalidad resueltos por nuestras SSTC 76/2014, de 8 de mayo; 152/2014, de 25 de septiembre; y 163/2014,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76/2014, a la que remiten las dos posteriores, se resolvió el recurso de inconstitucionalidad (número 1425-2011) interpuesto por el Consejo de Gobierno de la Región de Murcia contra los arts. 128 y 129 de la Ley 39/2010, al considerar que se vulneran los arts. 2, 9.3, 31, 137, 138.1, 156.1, 157 c) y 158.1 de la Constitución, en relación con los arts. 1, 2, 3, 4 y 15 de la Ley Orgánica 8/1980, de 22 de septiembre, de financiación de las Comunidades Autónomas, y los arts. 40 y 42 del Estatuto de Autonomía de la Región de Murcia. En la STC 152/2014, de 25 de septiembre, se resolvió el recurso de inconstitucionalidad (número 1725-2011) interpuesto contra los mismos arts. 128 y 129 de la Ley 39/2010, promovido por el Diputado don Arturo García-Tizón López, comisionado por otros 62 Diputados del Grupo Popular del Congreso de los Diputados. Finalmente, en la STC 163/2014, de 8 de octubre se dio respuesta al recurso de inconstitucionalidad (número 5007-2011) que contra estos mismos dos preceptos había interpuesto el Consejo de Gobierno de la Comunidad Autónoma de Castilla y León, contra los arts. 128 y 129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 desprende de las alegaciones de las partes recogidas en los antecedentes, el presente recurso no difiere sustancialmente de los tres anteriores en sus motivos impugnatorios,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128 debe desestimarse con remisión a la doctrina contenida en los fundamentos 4 a 6 de la STC 76/2014, de 8 de mayo, ya publicada en el “Boletín Oficial del Estado” y que debe darse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dirigida contra el art. 129, sucede lo mismo que en los tres asuntos relacionados con la presente controversia constitucional: no se levanta la carga impugnatoria ni tampoco el precepto cumple la función que la demanda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129 de la Ley 39/2010, titulado “Liquidación definitiva de los recursos del Sistema de Financiación del año 2009 de las Comunidades Autónomas y Ciudades con Estatuto de Autonomía”, establece según su título las reglas que habrán de seguirse, por parte de los órganos competentes de la Administración General del Estado, para efectuar la liquidación definitiva de los recursos del sistema de financiación del año 2009 de las Comunidades Autónomas. Sin embargo, la demanda no controvierte las reglas allí incluidas, sino que se limita a vincular la impugnación de este precepto con art. 128 y con el resultado económico derivado de su aplicación. En consecuencia, y al igual que hicimos en la citada STC 76/2014, debemos “excluir del objeto del recurso el art. 129, toda vez que no hay contenido argumentativo dirigido su impugnación, con lo que no sólo se falta, en los términos tantas veces reiterados por nuestra doctrina, a la mínima diligencia procesal exigible a las partes, sino que además no se puede desvirtuar la presunción de constitucionalidad de toda norma legal.”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Formalmente la demanda parece dirigirse también contra los arts. 130 y 131,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130. Transferencias a Comunidades Autónomas correspondientes al coste de los nuevos servicios traspasados.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partir de 1 de enero del año 2011 se efectúan nuevas transferencias de servicios a las Comunidades Autónomas, los créditos correspondientes a su coste efectivo se dotarán en la Sección 36 ‘Transferencias a Comunidades Autónomas por coste de los servicios asumidos’ en conceptos específicos que serán determinados, en su momento, por la Dirección General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los Reales Decretos que aprueben las nuevas transferencias de servicios contendrán como mínimo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Fecha en que la Comunidad Autónoma debe asumir efectivamente la gestión del servicio transferido.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financiación anual, en euros del ejercicio 2011, desglosada en los diferentes capítulos de gasto que comprenda.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valoración referida al año base 2007, correspondiente al coste efectivo anual del mismo, a efectos de la revisión del valor del Fondo de Suficiencia Global de la Comunidad Autónoma que corresponde prevista en el artículo 21.1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131. Fondos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En la Sección 33 de los Presupuestos Generales del Estado se dotan dos Fondos de Compensación lnterterritorial ascendiendo la suma de ambos a 774.370,00 miles de euros, en cumplimiento de lo dispuesto en la Ley 22/2001, de 27 de diciembre, reguladora de los Fondos de Compensación Interterritorial modificada por la Ley 23/2009,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Fondo de Compensación, dotado con 580.792,01 miles de euros, se destinará a financiar gastos de inversión de acuerdo con lo previsto en el Artículo 2 de la Ley 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El Fondo Complementario, dotado con 193.577,99 miles de euros, podrá aplicarse por las Comunidades Autónomas y Ciudades con Estatuto de Autonomía propio a la financiación de los gastos de puesta en marcha o funcionamiento de las inversiones realizadas con cargo a la Sección 33 de los Presupuestos Generales del Estado en los términos previstos en el Artículo 6.2 de la Ley 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El porcentaje que representa el Fondo de Compensación destinado a las Comunidades Autónomas sobre la base de cálculo constituida por la inversión pública es del 31,57 por 100, de acuerdo al Artículo 2.1.a) de dicha Ley. Además, en cumplimiento de la disposición adicional única de la Ley 22/2001, el porcentaje que representan los Fondos de Compensación Interterritorial destinados a las Comunidades Autónomas es del 42,10 por ciento elevándose al 42,76 por ciento si se incluyen las Ciudades con Estatuto de Autonomía de Ceuta y Melilla y alcanzando el 43,18 por ciento teniendo en cuenta la variable ‘región ultraperiférica’ definida en la Ley 23/2009 de modificación de la Ley 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Los proyectos de inversión que pueden financiarse con cargo a los Fondos anteriores son los que se detallan en el anexo a la Sección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En el ejercicio 2011 serán beneficiarias de estos Fondos las Comunidades Autónomas de: Galicia, Andalucía, Principado de Asturias, Cantabria, Región de Murcia, Comunidad Valenciana, Castilla-La Mancha, Canarias, Extremadura, Castilla y León y las Ciudades de Ceuta y Melilla de acuerdo con la disposición adicional única de la Ley 22/2001,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Siete. Los remanentes de crédito de los Fondos de Compensación Interterritorial de ejercicios anteriores se incorporarán automáticamente al Presupuesto del año 2011 a disposición de la misma Administración a la que correspondía la ejecución de los proyectos en 31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financiación de las incorporaciones a que se refiere el párrafo anterior se dota un crédito en la Sección 33, ‘Fondos de Compensación Interterritorial’, Servicio 20, ‘Dirección General de Coordinación Financiera con las CC.AA. y EE.LL. Varias CC.AA.’, Programa 941N ‘Trasferencias a Comunidades Autónomas por los Fondos de Compensación Interterritorial’, Concepto 759 ‘Para financiar la incorporación de remanentes de crédito de los Fondos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los remanentes a 31 de diciembre de 2010 fueran superiores a la dotación del indicado crédito, la diferencia se financiará mediante baja en el Fondo de Contingencia conforme a lo previsto en el artículo 50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Ocho. En tanto los remanentes de créditos presupuestarios de ejercicios anteriores se incorporan al vigente, el Tesoro Público podrá efectuar anticipos de tesorería a las Comunidades Autónomas por igual importe a las peticiones de fondos efectuadas por las mismas ‘a cuenta’ de los recursos que hayan de percibir una vez que se efectúe la antedicha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anticipos deberán quedar reembolsados antes de finalizar el ejercicio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destaca el Abogado del Estado, dichos preceptos ni siquiera se mencionan en el cuerpo de la demanda, aunque la misma se dirija también formalmente contra ellos. En consecuencia, y ante la evidente ausencia de argumentos que permitan abordar su compatibilidad con la Constitución, deben también excluirse de nuestro pronunciamiento, al igual que el art.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cuanto antecede, procede desestimar en su integridad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la Xunta de Galicia contra los artículos 128 a 131 de la Ley 39/2010, de 22 de diciembre, de presupuestos generales del Estado para el año 2011, así como contra los capítulos, secciones, servicios y conceptos en ellos 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