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9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29 de septiembre de 2014, el Abogado del Estado, en nombre del Presidente del Gobierno de la Nación, interpuso recurso de inconstitucionalidad contra los arts. 3 a 39, las disposiciones transitorias primera y segunda, y la disposición final primera, de la Ley del Parlamento de Cataluña 10/2014, de 26 de septiembre, de consultas populares no referendarias y de otras formas de participación ciudadana, publicada en el “Diari Oficial de la Generalitat de Catalunya” núm. 6715, de 27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septiembre de 2014, el Pleno del Tribunal, a propuesta de su Sección Tercera, acordó admitir a trámite el recurso de inconstitucionalidad y dar traslado del mismo y de los documentos presentados, conforme establece el art. 34 de la Ley Orgánica del Tribunal Constitucional, al Congreso de los Diputados y al Senado, así como al Parlamento de Cataluña y al Gobierno de la Generalitat de Cataluña, al objeto de que, en el plazo de quince días, pudieran personarse en el proceso y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tuvo por invocado por el Gobierno el art. 161.2 CE y, en consecuencia, se acordó la suspensión de los preceptos legales impugnados y de cuantos actos o resoluciones hubieran podido dictarse en aplicación de los mismos, con efectos desde la fecha de interposición del recurso para las partes del proceso y desde su publicación en el “Boletín Oficial del Estado” para los terceros. Por último, se acordó comunicar a los Presidentes del Parlamento de Cataluña y del Gobierno de la Generalitat de Cataluña la señalada providencia y publicar la incoación del proceso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1 de octubre de 2014, el Gobierno de la Generalitat de Cataluña pidió ser tenido como parte en el proceso, al tiempo que solicitaba el levantamiento de la suspensión de los preceptos legales acordada en la referida providencia de 29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 de octubre de 2014, tuvo entrada en el Registro General del Tribunal un escrito de los Letrados del Parlamento de Cataluña, cuya representación acreditan mediante certificación de la Mesa del Parlamento, por el cual, entre otras alegaciones, esta institución se persona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Letrados del Parlamento de Cataluña, actuando en la representación que ostentan, presentaron nuevo escrito que tuvo entrada en el Registro General del Tribunal el 7 de octubre de 2014 por el que, en cumplimiento del acuerdo de la Mesa del Parlamento de Cataluña adoptado el día 2 de octubre de 2014 y cuya certificación se adjunta, plantean incidente de recusación en el presente procedimiento contra el Presidente de este Tribunal, Excmo. Sr. don Francisco Pérez de los Cobos Orihuel, y contra el Excmo. Sr. Magistrado don Pedro José González-Trevijano Sánchez, entendiendo que concurren en ellos las causas de recusación de los apartados 9 y 10 del art. 219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recusación se niega que la misma tenga por finalidad la inhabilitación de ambos Magistrados por razón de sus ideas, sino que, como consecuencia de ellas “o incluso prescindiendo de las mismas”, habrían incurrido en situaciones que comprometen su independencia o imparcialidad, debido a su “estrecha relación (indirecta pero real…), con una de las partes y por su posición personal y pública contraria y beligerante” respecto de “la ley objeto del presente procedimiento”. Tras manifestar las razones de su desconfianza hacia la imparcialidad de los Magistrados recusados, el escrito pasa a formular una serie de consideraciones sobre las funciones atribuidas a este Tribunal por la Constitución, la cualificación profesional exigida para ser Magistrado del mismo y las normas que imponen su independencia e imparcialidad. Garantías que sin embargo, dicen, se topan con el hecho de la “desnaturalización” de este órgano constitucional, al existir “en el imaginario social la idea de que el Tribunal Constitucional es un órgano altamente politizado”, lo que configura un problema que “adquiere toda su virulencia cuando el objeto del proceso hace inevitable que se produzca este conflicto” con el compromiso político adquirido previamente por el Magistrado.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con unas consideraciones sobre la doble garantía de la independencia e imparcialidad de los miembros de este Tribunal Constitucional, destacando las dos vertientes de esta última, la imparcialidad: de un lado, la de carácter subjetivo, vinculada a la “convicción personal sobre un caso concreto” del Magistrado y, de otro, la de carácter objetivo, relativa a las “garantías externas que debe ofrecer el juez o el tribunal para excluir cualquier duda legítima sobre su imparcialidad”. Se defiende que en la imparcialidad de carácter objetivo las apariencias son importantes, así como los actos que pueden justificar el temor o sospecha de parcialidad, con cita del ATC 26/2007, FJ 3; coligiendo que respecto de dicha vertiente prevalece un “escenario abierto y sin causas tasadas a las que reconducir la recusación … de forma flexible y adaptada a las características propias del proceso constitucional”, sin que resulten un obstáculo al respecto el carácter abstracto del proceso y el carácter público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Concluidas estas consideraciones generales, se exponen en el escrito las razones que llevan a recusar a dos de los Magistrados de este Tribunal, entre ellos el Excmo. Sr. Presidente.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se pone de manifiesto, en primer lugar, que el ATC 180/2013, de 17 de septiembre, (que inadmitió a limine la recusación del Sr. Presidente formulada por el Gobierno y el Parlamento de Cataluña en relación con diversos procesos constitucionales) contó con los votos particulares de los Magistrados don Luis Ignacio Ortega Álvarez y don Fernando Valdés Dal-Ré, quienes consideraron que, dada la naturaleza de los hechos expuestos, hubiera debido admitirse a trámite la recusación. Según se aduce por la parte recurrente, “el hecho de que el Tribunal inadmitiera la recusación sin abrir la correspondiente pieza separada para tramitar el incidente, impidió conocer la certeza de los hechos alegados por el Gobierno y el Parlamento de Cataluña y ni tan siquiera se pudo oír al recusado y, por ello, se pudieron despejar las dudas sobre su eventual imparcialidad”. Tales consideraciones llevan al Parlamento de Cataluña a invocar de nuevo los motivos en los que el propio Parlamento y el Gobierno de Cataluña fundamentaron aquella recusación resuelta por el ATC 180/2013.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alegados entonces y que ahora se reiteran, fueron, en síntesis, que el Presidente del Tribunal, durante los años 2008 y 2011, fue militante del Partido Popular; y aunque la afiliación a un partido político no se encuentra entre las causas de incompatibilidad de los miembros del Tribunal Constitucional previstas en el art. 159.4 CE —en relación con la vinculación a partidos políticos solo prevé expresamente el desempeño de funciones directivas—, ello no impide que como consecuencia de esa afiliación pueda verse menoscabada su imparcialidad. En concreto se alega que el Presidente del Tribunal, al haber estado afiliado a un partido político quedaba obligado a cumplir las instrucciones que recibiera del mismo y, al tiempo, está obligado a mantener la imparcialidad que es inherente a la condición de Magistrado del Tribunal Constitucional. El Parlamento catalán añade que constituye un indicio de su falta de imparcialidad el hecho de que cuando compareció en la comisión de nombramientos del Senado el 6 de octubre de 2010, no pusiera de manifiesto que estaba afiliado al Partido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vuelve a poner de manifiesto que el Sr. Presidente colaboró con la Fundación para el Análisis y los Estudios Sociales (FAES), fundación privada y sin ánimo de lucro vinculada al Partido Popular, lo que, denota, según sostiene la parte recusante, un compromiso ideológico y de intereses con el referido partido político. De igual modo, se vuelve a plantear que, tanto en su libro “Parva Memoria” como en alguna entrevista —se cita la publicada en el diario “el País” de 3 de noviembre de 2010— queda de manifiesto su falta de imparcialidad en relación con las cuestiones atinentes al nacionalismo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Añadidamente se alegan ahora otros hechos que, según sostiene el Parlamento catalán, se desconocían cuando se formuló la recusación resuelta por el ATC 180/2013. A tal fin se menciona el discurso que como catedrático de Derecho del trabajo —entonces no era Magistrado del Tribunal Constitucional— pronunció en Yecla con ocasión del día de la Constitución el 6 de diciembre de 2005 en el que, afirmó que “la reforma del Estatut de Autonomía catalán … representa un verdadero órdago para la estabilidad constitucional y no conozco a ningún jurista digno de tal nombre que se atreva a afirmar lo contrario”, y que “varias generaciones de catalanes han sido ya educadas en el desprecio, expreso o tácito, hacia la cultura española y el Estatut es la primera manifestación política de ese desprecio”. El Parlamento catalán entiende que si el proyecto de Estatuto causó que el hoy Presidente del Tribunal Constitucional efectuara tales afirmaciones, puede que ahora no se encuentre en una situación de imparcialidad para juzgar el desarrollo de las competencias que se derivan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aduce como nuevo hecho el haberse convocado el Pleno del Tribunal para que resolviera sobre la admisibilidad del recurso de inconstitucionalidad del que trae causa este incidente el mismo día que este recurso fue presentado, el 29 de septiembre pasado, lo que pondría de manifiesto una toma de posición anímica a favor de la posición defendida por el Gobierno. El Parlamento catalán considera que no existe una urgencia objetiva para convocar el Pleno sin que transcurran los tres días de antelación a que se refiere el art. 5 del Reglamento de organización y personal del Tribunal Constitucional, y que nunca en la historia del Tribunal se había llamado a una reunión extraordinaria del Pleno para admitir un recurso sin sujetarse al referido plazo. También entiende que las razones que se exponen en el “Comunicado del Pleno del Tribunal Constitucional” publicado en la página web del Tribunal (“la trascendencia constitucional y política de las cuestiones planteadas, para la sociedad española en su conjunto y, en particular, para la Catalana”) no ofrecen una explicación que permita descartar tales dudas, pues todos los asuntos de los que trata el Tribunal tienen trascendencia constitucional, por lo que solo sería posible considerar a priori que un asunto sometido al Tribunal tiene una trascendencia constitucional fuera de lo común a partir de una previa posición sobre su contenido material. También se duda de que la trascendencia política a la que se refiere el comunicado del Tribunal pueda explicar la urgente convocatoria. El Parlamento catalán considera que en relación con la Ley impugnada, el Presidente del Gobierno, como parte recurrente, pretende dar una imagen política determinada a la que se une todo “el aparato” estatal (que incluiría al Tribunal Constitucional) frente a una ley que se calificaba de manifiestamente inconstitucional incluso antes de su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apreciación, junto con los hechos anteriormente puestos de manifiesto (la afiliación del Presidente del Tribunal al Partido Popular hasta el año 2011 y su posición ideológica en relación con el nacionalismo catalán), llevan al Parlamento de Cataluña a concluir que la convocatoria del Pleno del Tribunal, atendiendo a la supuesta trascendencia política del asunto a tratar, podría poner de manifiesto la existencia de hechos que inciden sobre la imparcialidad del Presidente del Tribunal Constitucional y por este motivo plantea su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Parlamento de Cataluña, por escrito registrado en este Tribunal el 7 de octubre de 2014, promueve la recusación del Presidente de este Tribunal, Excmo. Sr. don Francisco Pérez de los Cobos Orihuel, y del Excmo. Sr. Magistrado don Pedro González-Trevijano Sánchez, al considerar que incurren en las causas de recusación previstas en los apartados 9 y 10 del art. 219 de la Ley Orgánica del Poder Judicial (LOPJ). Cada una de estas recusaciones, al apoyarse en hechos referidos singularmente a cada uno de los Magistrados recusados, como se infiere de la sistemática del escrito de interposición, deben ser enjuiciadas por separado, siendo el objeto de la presente resolución el examen de la del Presidente de este Tribunal, el Magistrado Sr. Pérez de los Cobos.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mayor detalle se ha expuesto en los antecedentes de esta resolución, la recusación se sustenta en hechos que ya habían sido aducidos por el propio Parlamento de Cataluña en la recusación resuelta por el ATC 180/2013, de 17 de septiembre: la afiliación del Magistrado Sr. Pérez de los Cobos a un partido político durante un lapso de tiempo parcialmente coincidente con su condición de Magistrado de este Tribunal; que no hubiera puesto en conocimiento de la comisión de nombramientos del Senado el dato de su afiliación política; que antes de su nombramiento hubiese colaborado con una fundación de estudios vinculada al Partido Popular, mediante intervenciones relacionadas en algunos casos con cuestiones sujetas al conocimiento del Tribunal; y, por último, haber publicado un libro de aforismos, algunos de los cuales evidenciarían prejuicios contra el nacionalismo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tales hechos, ahora se alega, por una parte, que de algunas de las manifestaciones efectuadas en el discurso pronunciado el 6 de diciembre de 2005 en Yecla (discurso que, según aduce el Parlamento catalán, conoció con posterioridad a que se dictara el ATC 180/2013), puede deducirse que el actual Presidente del Tribunal no reúne las condiciones de imparcialidad necesarias para resolver el presente recurso de inconstitucionalidad. Y, por otra, que las circunstancias en las que se convocó el Pleno de 29 de septiembre de 2014, en el que se acordó la admisión trámite del recurso de inconstitucionalidad del que trae causa este incidente, así como la suspensión de los preceptos legales impugnados a través del mismo y la de los actos o resoluciones que hubieran podido dictarse en su aplicación, ponen de manifiesto que el Presidente del Tribunal no actuó con las exigencias debidas de imparcialidad, pues la urgente convocatoria del Pleno podría tener como objeto actuar en beneficio de una imagen política querida por el Gobierno, que pretende aunar todo el “aparato” estatal (incluido el Tribunal Constitucional) contra la Ley recurrida; conclusión que se fundamenta en el hecho de que el actual Presidente del Tribunal hubiera sido durante un tiempo miembro del Partido Popular y de sus opiniones en contra del nacionalismo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hechos, conjuntamente valorados, son subsumidos por la representación procesal del Parlamento de Cataluña en las causas de recusación novena (amistad íntima o enemistad manifiesta con cualquiera de las partes) y décima (tener interés directo o indirecto en el pleito o causa) de las previstas en el art. 219 LOPJ, cuya aplicación a los Magistrados constitucionales resulta del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en ocasiones precedentes, debemos comenzar recordando la doctrina del Tribunal sobre la garantía y el deber de imparcialidad de los Magistrados constitucionales, que ya fue condensada en el ATC 180/2013, de 17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caso Castillo Algar c. España, § 45; y de 17 de junio de 2003, caso Pescador Valero c. España,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 Esta interpretación restrictiva tiene especial fundamento respecto de un órgano, como es el Tribunal Constitucional, cuyos miembros no pueden ser objeto de sustitución (AATC 80/2005, de 17 de febrero, y 383/2006, de 2 de noviembre, FJ 3). En efecto, en los procesos seguidos en los tribunales ordinarios, la consecuencia de estimar una recusación es la sustitución del afectado (art. 228.2 en relación con los arts. 207 a 214 LOPJ), con lo que se reequilibra la composición del órgano. Por el contrario, cuando el Tribunal Constitucional actúa examinando en Pleno la constitucionalidad de una ley o norma con rango de ley, la aceptación de una recusación no conlleva posibilidad alguna de sustitución del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 necesario también destacar la naturaleza de algunos procesos constitucionales. En los procesos de control de constitucionalidad de leyes también cabe la recusación pues el art. 22 LOTC no hace salvedad alguna entre los distintos procesos constitucionales, pero la labor del Tribunal Constitucional consiste en un juicio abstracto sobre la constitucionalidad de la norma impugnada; no se dirimen conflictos entre partes que defiendan ante él derechos o intereses propios (intereses subjetivos) sino pretensiones encaminadas a la depuración objetiva del ordenamiento (interés objetivo). La naturaleza de los procesos constitucionales puede comportar modulaciones en la aplicación supletoria de la Ley Orgánica del Poder Judicial y la Ley de enjuiciamiento civil en materia de abstención y recusación (ATC 26/2007,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recusación formulada cumple todos los requisitos procesales exigibles salvo el de su temporaneidad, por las razones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como se declara en el ya citado ATC 180/2013, de 17 de septiembre, FJ 2 f), “tal y como establece el primer párrafo del art. 223.1 LOPJ, ‘la recusación deberá proponerse tan pronto como se tenga conocimiento de la causa en que se funde, pues, en otro caso, no se admitirá a trámite’.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 Con posterioridad se insiste en la importancia de este requisito en los AATC 237/2013, de 21 de octubre, FJ 2; 238/2013, de 21 de octubre, FJ 3; 256/2013, de 6 de noviembre, FJ único; y 54/2014, de 25 de febrero, FJ 4, todos ellos dictados en relación, también, a la recusación de Magistrados constitucionales. En aplicación de esta doctrina se ha apreciado la extemporaneidad de las pretensiones de recusación planteadas contra Magistrados constitucionales, en un momento posterior a aquel primero en que pudo ponerse de manifiesto la causa alegada, ante este Tribunal (art. 223 LOPJ): así, los AATC 383/2006, de 2 de noviembre, FJ 4; 109/2009, de 31 de marzo, FJ único; 256/2013, de 6 de noviembre, FJ único; y 54/2014, de 25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resultan los siguientes datos relevantes para resolver la cuestión: (i) en el “Boletín Oficial del Estado” del 10 de enero de 2011 apareció publicado el Real Decreto 1787/2010, de 29 de diciembre, de nombramiento del Excmo. Sr. don Francisco Pérez de los Cobos Orihuel como Magistrado del Tribunal Constitucional; hecho por tanto de conocimiento general desde esa misma fecha; (ii) conforme a lo dispuesto en el art. 10.1 b) de la Ley Orgánica 2/1979, el Pleno de Magistrados de este Tribunal es el competente para conocer de los recursos de inconstitucionalidad promovidos contra las leyes y demás disposiciones con valor de ley, y en este caso el que pudiera llegar a promoverse contra la Ley 10/2014, de 26 de septiembre, del Parlamento de Cataluña, una vez promulgada y publicada; (iii) según se expone en el propio escrito de recusación, los hechos invocados fueron conocidos con antelación; (iv) el Abogado del Estado interpuso el recurso de inconstitucionalidad el 29 de septiembre de 2014; (v) en la misma fecha se notificó a la representación del Parlamento de Cataluña la providencia adoptada por el Pleno de este Tribunal, en la que figura entre otros el Sr. Presidente, por la que se admitía a trámite el recurso de inconstitucionalidad referido; (vi) tras recibir esa notificación, y pudiéndose plantear ya la recusación, el Parlamento catalán optó por no hacerlo, procediendo en cambio, por escrito presentado el 2 de octubre, a solicitar que se le tuviese por personado y, además, que se levantase la suspensión de los efectos de los preceptos impugnados, que previamente había acordado la antedicha providencia de 29 de septiembre de 2014. En dicho escrito ninguna referencia aparece, por sucinta que fuera, a la parcialidad de los Magistrados intervinientes en el trámite de admisión del recurso; (vii) finalmente, más de una semana después, el 7 de octubre tuvo entrada en el Registro General de este Tribunal el escrito de recusación, en el cual no se alude en absoluto a circunstancia alguna que hubiera resultado impeditiva para formalizar, antes de esa fecha, la pretensión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circunstancias concurrentes, se evidencia el incumplimiento del plazo de preclusión que establece el art. 223.1 LOPJ, en relación con el art. 80 LOTC, dado que la recusación no se ha propuesto “tan pronto como se tenga conocimiento de la causa en que se funde”, sino en un escrito posterior a aquel en el que solicitó la personación.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la extemporaneidad apreciada, considera el Pleno necesario formular algunas consideraciones sobre el fondo de los argumentos que sostiene la solicitud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la recusación se sustenta parcialmente en hechos que ya habían sido aducidos por el propio Parlamento de Cataluña en la recusación resuelta por el ATC 180/2013, de 17 de septiembre: la afiliación del Magistrado Sr. Pérez de los Cobos a un partido político durante un lapso de tiempo parcialmente coincidente con su condición de Magistrado de este Tribunal; no haber informado a la comisión de nombramientos del Senado de su afiliación a un partido político; haber tenido relación con una fundación de estudios vinculada al Partido Popular, antes de ser Magistrado de este Tribunal; y, por último, publicar un libro de aforismos, algunos de los cuales evidencian prejuicios contra el nacionalismo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motivos, al haber sido enjuiciados por este Tribunal en la referida resolución, no pueden, en sí mismos, ser objeto de un nuevo examen, por lo que en relación con los mismos la recusación deberá considerarse carente de fundamento por las razones que se expusieron en los AATC 180/2013, FFJJ 3, 4, y 5; y 208/2013.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puede considerarse que las manifestaciones efectuadas por el Sr. Pérez de los Cobos, antes de ser Magistrado de este Tribunal, en el discurso pronunciado en Yecla el 6 de diciembre de 2005, en relación con la opinión que como jurista le merecía el texto del Estatuto de Autonomía de Cataluña, a la sazón en curso de tramitación, puedan menoscabar su imparcialidad. Como se afirma en el ATC 18/2006, de 24 de enero, FJ 3, citado, a su vez, por el ATC 180/2013, de 17 de septiembre, “salvo que se desvirtúe el contenido de la garantía de imparcialidad, no puede pretenderse la recusación de un Juez por el mero hecho de tener criterio jurídico anticipado sobre los asuntos que debe resolver. No solo el Tribunal Constitucional, sino también el resto de Tribunales jurisdiccionales, deben ser integrados por Jueces que no tengan la mente vacía sobre los asuntos jurídicos sometidos a su consideración. Por imperativo constitucional, solo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[FJ 4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cobran aún más sentido si, como en el presente caso, las manifestaciones efectuadas están referidas a una disposición que se encontraba en tramitación y que no es objeto de impugnación en el proceso en el que se formula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Aduce también el Parlamento catalán que las circunstancias en las que se convocó el Pleno de este Tribunal el 26 de septiembre 2014 —Pleno en el que se acordó admitir a trámite el recurso de inconstitucionalidad del que trae causa este incidente— ponen de manifiesto que el Presidente del Tribunal no actuó imparcialmente. La quiebra de la imparcialidad se fundamenta en que el Presidente del Tribunal convocó el Pleno para que se pronunciara sobre la admisión a trámite de este recurso sin esperar a que transcurriesen los tres días de antelación que establece el art. 5 del Reglamento de organización y personal del Tribunal Constitucional, sin existir una urgencia objetiva. Por otra parte, se alega que la explicación ofrecida en el comunicado del Pleno del Tribunal Constitucional que se publicó en su página web el mismo 29 de septiembre, no permite descartar tales dudas, pese a afirmar que la decisión del Pleno de no demorar su resolución “obedece a que el Tribunal es consciente de la trascendencia constitucional y política de las cuestiones planteadas”. Entiende el Parlamento catalán que la trascendencia constitucional la tienen todos los asuntos de los que conoce el Tribunal, y que solo es posible considerar a priori que un asunto tiene trascendencia constitucional fuera de la común a partir de una previa posición sobre su contenido material. Se afirma que el Gobierno ha pretendido dar una imagen política determinada en la que todo el aparato estatal (en el que se considera incluido el Tribunal Constitucional) se ha unido frente a una ley que se ha calificado de manifiestamente inconstitucional. De todo ello parece deducir el Parlamento catalán que el Presidente del Tribunal, al convocar tan rápidamente al Pleno, estuviera tomando postura a favor de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argumentos no pueden ser acogidos.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que partir del hecho de que es al Presidente del Tribunal a quien, de acuerdo con lo previsto en el art. 15 LOTC, corresponde la facultad de convocar al Pleno. Pues bien, no puede apreciarse que la decisión del Presidente del Tribunal de convocar al Pleno el día 29 de septiembre para que, junto con otros recursos, resolviera sobre la admisibilidad del recurso de inconstitucionalidad que ese mismo día interpuso el Presidente del Gobierno, pueda constituir un acto que favorezca a una de las partes; en concreto a la recurrente. El plazo de tres días que se fija en el Reglamento de organización para los plenos gubernativos no es aplicable a las sesiones de carácter jurisdiccional. La celeridad en resolver las cuestiones planteadas, aun cuando pueda ser producto de una valoración sobre la trascendencia o urgencia de ellas, no implica, si aquellas versan sobre la admisibilidad de un recurso, tomar posición sobre el fondo del asunto ni puede ser un indicio de falta imparcialidad, pues tal medida no puede ir en contra de las pretensiones de ninguna de las partes, cuyo interés no puede ser otro que el de la rápida resolución de las cuestiones sometidas a la consideración del Tribunal. En cualquier caso, el Parlamento recusante parece fundamentar su queja en que con tal decisión el Tribunal estaría beneficiando al Gobierno de la Nación, pero no pone de manifiesto qué concretas ventajas podría haber obtenido como consecuencia de la pronta convocatoria del Pleno y su rápida decisión de admitir a trámite el recurso de inconstitucionalidad presentado por el Presidente del Gobierno ni tampoco ha expuesto los perjuicios o desventajas que esa decisión conllevaría para el Parlamento de Cataluña o las otras partes procesales. Consiguientemente, la recusación carece también de fundamento por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anteriores consideraciones abocan a la inadmisión a trámite de la recusación promovida. Desde las primeras resoluciones dictadas en materia de recusación, este Tribunal viene admitiendo la posibilidad de denegar su tramitación cuando razones procesales o de fondo así lo exijan (entre otros, AATC 109/1981, de 30 de octubre, y 180/2013, de 17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a limine de una recusación puede producirse como consecuencia de su defectuoso planteamiento procesal (ATC 383/2006, de 2 de noviembre, FJ 2; y 394/2006, de 7 de noviembre, FJ 2). Y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ahora examinado el Tribunal considera que en este momento procesal puede afirmarse con suficiente seguridad la improcedencia de la recusación solicitada por su extemporaneidad y por carecer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Excmo. Sr. Presidente del Tribunal Constitucional don Francisco Pérez de los Cobos Orihuel promovida por el Parlamento de Cataluña en el recurso de inconstitucionalidad núm. 5829-2014.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