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11 de febrero de 2011 dictada por la Sección Séptima de la Sala Tercera de lo Contencioso-Administrativo del Tribunal Supremo en el recurso de casación núm. 1338-.2010 interpuesto contra Sentencia de 16 de octubre de 2009 dictada por la Sección Tercera de la Sala de lo Contencioso-Administrativo del Tribunal Superior de Justicia de Castilla y León en el recurso núm. 2493-2008.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15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1338-2010 del que trae causa el presente recurso de amparo núm. 1247-2011.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1338-2010 seguido en la Sección Séptima de la Sala Tercera de lo Contencioso-Administrativo del Tribunal Supremo que dictó la Sentencia de11 de febrero de 2011, resolución que ha sido impugnada en el presente recurso de amparo núm.1247-2011.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1247-2011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