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24 de marzo de 2011 dictada por la Sección Séptima de la Sala Tercera de lo Contencioso-Administrativo del Tribunal Supremo en el recurso de casación núm. 3812-2010 interpuesto contra Sentencia de 6 de noviembre de 2009 dictada por la Sección Tercera de la Sala de lo Contencioso-Administrativo del Tribunal Superior de Justicia de Castilla y León en el recurso núm. 2372-2008.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3812-2010 del que trae causa el presente recurso de amparo núm. 2560-2011.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3812-2010 seguido en la Sección Séptima de la Sala Tercera de lo Contencioso-Administrativo del Tribunal Supremo que dictó la Sentencia de 24 de marzo de 2011, resolución que ha sido impugnada en el presente recurso de amparo núm. 2560-2011.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2560-2011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