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29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la Sala de lo Contencioso-Administrativo del Tribunal Supremo en recurso de casación 3234-2010, contra la Sentencia dictada por la Sección Tercera de la Sala de lo Contencioso-Administrativo del Tribunal Superior de Justicia de Castilla y León en recurso 2480-2008.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27 de octubre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31 de marzo de 2011, resolución impugnada en el presente recurso de amparo número 2737-2011.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31 de marzo de 2011, en el recurso de casación número 3234-2010,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2737-2011,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