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30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Contencioso-Administrativo del Tribunal Supremo en recurso de casación 3787-2010, contra la Sentencia dictada por la Sección Tercera de la Sala de lo Contencioso-Administrativo del Tribunal Superior de Justicia de Castilla y León en recurso 2801-2008.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27 de octubre de 2014,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10 de marzo de 2011, resolución impugnada en el presente recurso de amparo número 2228-2011.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10 de marzo de 2011, en el recurso de casación número 3787-2010,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2228-2011,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