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de lo Contencioso-Administrativo del Tribunal Supremo, de 10 de noviembre de 2011, por el que se inadmitió el recurso de casación núm. 1504-2011, promovido a su vez contra la Sentencia de 19 de enero de 2011, de la Sección Segunda de la Sala de lo Contencioso-Administrativo de la Audiencia Nacional, recaída en el recurso núm. 449-2007.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número 1713-2012.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número núm. 1504-2011,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1713-2012,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