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6 de noviembre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el Auto de la Sala de lo Contencioso-Administrativo del Tribunal Supremo, de 26 de enero de 2012, por el que se inadmitió el recurso de casación núm. 1495-2011, promovido a su vez contra la Sentencia de 16 de febrero de 2011, de la Sección Segunda de la Sala de lo Contencioso-Administrativo de la Audiencia Nacional, recaída en el recurso núm. 56-2008.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4 de noviembre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26 de enero de 2012, resolución impugnada en el presente recurso de amparo número 2604-2012.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26 de enero de 2012, en el recurso de casación número núm. 1495-2011, que ha sido impugnado en 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número 2604-2012,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