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274</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6 de noviembre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el Auto de la Sala de lo Contencioso-Administrativo del Tribunal Supremo, de 1 de marzo de 2012, por el que se inadmitió el recurso de casación núm. 4824-2011, promovido a su vez contra la Sentencia de 29 de junio de 2011, de la Sección Sexta de la Sala de lo Contencioso-Administrativo de la Audiencia Nacional, recaída en el recurso núm. 578-2010.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4 de noviembre de 2014, el Magistrado don Ricardo Enríquez Sancho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1 de marzo de 2012, resolución impugnada en el presente recurso de amparo número 4503-2012.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Ricardo Enríquez Sancho, Magistrado de esta Sala Segunda del Tribunal Constitucional, la Sala,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1 de marzo de 2012, en el recurso de casación número núm. 4824-2011, que ha sido impugnado en 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Ricardo Enríquez Sancho en el recurso de amparo número 4503-2012,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