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6 de noviembre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la Sala de lo Contencioso-Administrativo del Tribunal Supremo, de 10 de noviembre de 2011, por el que se inadmitió el recurso de casación núm. 2933-2010, promovido a su vez contra la Sentencia de 15 de abril de 2010, de la Sección Segunda de la Sala de lo Contencioso-Administrativo de la Audiencia Nacional, recaída en el recurso núm. 439-2007.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4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noviembre de 2011, resolución impugnada en el presente recurso de amparo número 5157-2012.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noviembre de 2011, en el recurso de casación núm. 2933-2010,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número 5157-2012,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