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18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3202-2010, contra la Sentencia dictada por la Sección Tercera de la Sala de lo Contencioso-Administrativo del Tribunal Superior de Justicia de Castilla y León en recurso 2189-2008.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noviembre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17 de marzo de 2011, resolución impugnada en el presente recurso de amparo núm. 2385-2011.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17 de marzo de 2011, en el recurso de casación número 3202-2010,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2385-2011,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