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10 de diciembre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7 de marzo de 2013, se dedujo recurso de amparo frente al Auto de 20 de enero de 2013 dictado por el Juzgado de Primera instancia núm. 1 de Amposta, en resolución del recurso de revisión interpuesto frente al decreto de 12 de diciembre de 2012, desestimatorio a su vez del incidente de impugnación, por excesivas, de la tasación de las costas derivadas de la oposición a la ejecución de título extrajudicial núm. 788-2010, tramitado en aquel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recurrente, el Auto indicado había vulnerado su derecho a la tutela judicial efectiva, en cuanto derecho a obtener una resolución judicial congruente, motivada y fundada en Derecho (art. 24 CE), al resolver el recurso de revisión frente al decreto, sin dar respuesta a los motivos que lo sostenían, a saber: en primer lugar, que los honorarios del Letrado resultaban excesivos, en la medida en que habían sido fijados con arreglo a la inicial cuantía de la ejecución en lugar de la considerada procedente tras la estimación parcial de la oposición a aquélla, cuantía ésta por la que se decantaba el criterio 1.13 de los criterios aprobados por el Consell dels Illustres Collegis de Advocats de Catalunya; en segundo lugar, porque los honorarios debían ser igualmente reducidos por aplicación de los criterios de moderación contenidos en el criterio 1.12 de igual baremo y en la jurisprudencia del Tribunal Supremo y de las Audiencias Provinciales; en tercer y último lugar, porque al decantarse el decreto recurrido por la aplicación de las normas al respecto del Colegio de Abogados de Tortosa en lugar de las procedentes del Consell dels Illustres Collegis de Advocats de Catalunya, había generado “un trato desigual respecto de los demás justiciables que vean resueltas sus controversias en cualquier otro partido judicial de Cataluña” u otros lugares cuyos colegios de Abogados, como el valenciano, otorguen mayor relevancia a la ponderación en la aplicación del baremo. En este sentido, el recurrente consideraba que el Auto de 20 de enero de 2013 dictado por el Juzgado de Primera instancia núm. 1 de Amposta asimismo había vulnerado su derecho a la igualdad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Primera de 9 de octubre de 2013, se inadmitió la demanda de amparo por falta de agotamiento de la vía judicial previa [art. 44.1 a) de la Ley Orgánica del Tribunal Constitucional], al no haber interpuesto el ahora demandante frente a la resolución recurrida en amparo el incidente de nulidad de actuaciones previsto en el art. 241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4 de noviembre de 2013, el Ministerio Fiscal presentó recurso de súplica frente a la providencia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el Ministerio público que el mencionado incidente de nulidad no era exigible al demandante, en primer lugar, por haber sido invocados los derechos fundamentales en el recurso de revisión antes citado y, en segundo lugar, por cuanto tal invocación tuvo respuesta negativa en el Auto recurrido en amparo. De esta forma —sostiene el Ministerio público— la queja no podía denunciarse a través del incidente de nulidad, el cual se encuentra previsto en el precepto para la reparación de la vulneración de derechos fundamentales que “no haya podido denunciarse antes de recaer la resolución que ponga fin al proceso y siempre que dicha resolución no sea susceptible de recurso ordinario ni extraordinario” (art. 241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5 de noviembre de 2013, la Sección Primera del Tribunal Constitucional tuvo por recibido el recurso del Ministerio Fiscal y, de conformidad con el art. 93.2 de la Ley Orgánica del Tribunal Constitucional, acordó dar traslado a la recurrente por el plazo de tres días para que alegara lo que estimara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mediante escrito de 13 de noviembre de 2013, se adhirió al recurso interpuesto por el Ministerio Fiscal, reiterando las alegaciones realizadas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recurre en súplica la providencia dictada por esta misma Sección en fecha de 9 de octubre de 2013, en la cual se acordó no admitir a trámite el presente recurso de amparo por no haber agotado el recurrente la vía judicial previa [art. 44.1 a) de la Ley Orgánica del Tribunal Constitucional: LOTC] mediante la interposición del incidente de nulidad de actuaciones frente al Auto aquí recurrido, de 20 de enero de 2013. Según el Ministerio público, el incidente de nulidad no debía ser considerado exigible en tanto el demandante de amparo ya había interpuesto en aquella vía recurso de revisión, en el que denunció —y el órgano judicial dio respuesta las vulneraciones de derechos fundamentales ahora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el incidente de nulidad de actuaciones, a partir de la reforma introducida en el art. 241 de la Ley Orgánica del Poder Judicial (LOPJ) por la Ley Orgánica 6/2007, de 24 de mayo, es el instrumento idóneo para obtener ante la jurisdicción ordinaria la reparación de aquellas vulneraciones de los derechos fundamentales referidos en el art. 53.2 CE, que se entiendan cometidas en resolución judicial frente a la que la ley procesal no permita ningún recurso. Así, este precepto exige para la admisibilidad del incidente que la vulneración de que se trate no haya podido denunciarse antes de recaer resolución que ponga fin al proceso y que dicha resolución no sea susceptible de recurso ordinario ni extraordinario.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como sostiene el Ministerio Fiscal, en el caso de que la ley adjetiva sí conceda recurso frente a la resolución que la parte estime lesiva de su derecho —ya sea reposición, revisión, apelación, casación o cualquier otro, ordinario o extraordinario—, es este recurso el que deberá ser interpuesto por el interesado, sin que, tras el agotamiento de la cadena de recursos que legalmente quepan frente a la decisión de aquél, sea ya necesario que el recurrente reitere la queja a través de un incidente de nulidad que, por referirse a una vulneración ya denunciada con anterioridad en el procedimiento, deviene manifiestamente improcedente a tenor del indicado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de lo dicho se desprende que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STC 224/2007, de 22 de octubre, FJ 2), sin que sean viables las alteraciones introducidas con ulteriores alegaciones (SSTC 109/1997, de 2 de junio, FJ 1; 39/1999, de 22 de marzo, FJ 2), dirigidas a completar y, en su caso, reforzar la fundamentación del recurso, mas no a ampliarlo o variarlo sustancialmente (STC 85/1999,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ahora enjuiciado, el Ministerio Fiscal, interpretando la demanda de amparo, entendió que el recurrente imputaba la queja de incongruencia omisiva al decreto del Secretario de 12 de diciembre de 2012 que resolvió la impugnación de la tasación de costas por excesivas. Por ello, al haber interpuesto el recurrente frente a este decreto el recurso ordinario que la Ley de enjuiciamiento civil permitía —revisión—, el Ministerio público consideró correctamente agotada la vía judicial previa al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Sección, por el contrario, entendió —sin que de su nueva lectura se extraiga ahora otra conclusión distinta— que, pese a que en la demanda se refería la incongruencia omisiva y la vulneración del derecho a la igualdad que se imputaban al decreto, el recurrente ceñía material y formalmente sus quejas a las lesiones que de los mismos derechos atribuía al Auto, quejas éstas a las que revestía de carácter autónomo con relación a las apreciadas en la resolución del Secretario. De hecho, tras referirse con insistencia en el cuerpo del escrito a la incongruencia omisiva en que se estimaba incurso al Auto, también en el suplico el recurrente se limitaba a solicitar la nulidad de esta resolución, sin extender la pretensión de nulidad en modo alguno al decreto —como se indica después en las alegaciones aportadas en el recurso de súplica, con la claridad que era exigible para aquel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este dato, puesto que frente al indicado Auto no se concedía recurso alguno, el recurrente, para suscitar esta concreta vulneración ante el órgano judicial —la incongruencia omisiva del Auto— debió promover el incidente de nulidad de actuaciones, incurriendo en el óbice del art. 44.1 a) LOTC por no haberlo realizado. La falta de agotamiento alcanza también a la queja relativa a la igualdad, pues de haber interpuesto aquel incidente de nulidad y de ser estimado por el Juez, éste podría haber entrado a conocer —y en su caso reparar— tal queja, lo que no ha sucedido debido a la omisión del propio recurrente, frustrando la subsidiariedad del recurso de amparo (AATC 7/2009, de 12 de enero, 177/2009, de 1 de junio, y STC 104/2011, de 20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súplica debe ser así desestimado, tanto más cuando del examen de las resoluciones se desprende igualmente la carencia de verosimilitud de las quejas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decreto de 12 de diciembre de 2012 respondió, no sólo a la pretensión del recurrente, sino también a sus alegaciones en torno a la cuantía sobre la que debían calcularse los honorarios del letrado y a los criterios orientadores que se consideraban aplicables para este cálculo, optando por los del colegio de Abogados del partido judicial en que se tramitaba el litigio. Cabe entender, en consecuencia, que ya de forma expresa, ya tácitamente el Secretario dio respuesta a cuantas cuestiones se suscitaron ante él. Por esta misma razón tampoco incurrió en incongruencia omisiva el Auto de 20 de enero de 2013, el cual resolvió por remisión a lo decidido en aquel decreto (SSTC 144/2007, de 18 de junio, y 193/2005, de 18 de julio, sobre la validez constitucional de la respuesta judicial tácita y por remisión).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vulneración del derecho a la igualdad (art. 14 CE), que el recurrente atribuye a la aplicación por el órgano judicial de los criterios orientadores elaborados por el colegio de Abogados de Tortosa en detrimento de los procedentes del Consell dels Illustres Collegis de Advocats de Catalunya, el recurrente no ha acreditado tertium comparationis válido, dado que con arreglo a reiterada doctrina de este Tribunal el juicio de igualdad se debe realizar sobre la comparación entre la resolución judicial que se impugna y aquellas otras precedentes resoluciones del mismo órgano judicial en casos sustancialmente iguales, correspondiendo la carga de la prueba al recurrente en amparo (por todas, STC 105/2009, de 4 de mayo).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9 de octubre de 2013 en el recurso de amparo núm. 1360-2013.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