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Sentencia de la Sala de lo Contencioso-Administrativo del Tribunal Supremo en recurso de casación 4152-2100, contra la Sentencia dictada por la Sección Primera de la Sala de lo Contencioso-Administrativo de la Audiencia Nacional en recurso núm. 183-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5 de diciembre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7 de marzo de 2011, resolución que forma parte del fundamento de derecho segundo de la Sentencia impugnada en el presente recurso de amparo núm. 2815-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7 de marzo de 2011, resolución que forma parte del fundamento de derecho segundo de la Sentencia impugnada en el presente recurso de casación objeto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2815-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