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7 de mayo de 2014, la Procuradora de los Tribunales doña Sonia López Caballero, en nombre y representación de doña María Carmen Pérez Aguilar, interpuso demanda de amparo contra el Auto de fecha 19 de diciembre de 2013, dictado por el Juzgado de Primera Instancia e Instrucción núm. 2 de Quart de Poblet en el procedimiento de impugnación de resolución de la comisión de asistencia jurídica gratuita núm. 595-2013, que desestimó la impugnación presentada contra la resolución de 25 de julio de 2013, de la comisión de asistencia jurídica gratuita de Valencia, que acordó denegar el reconocimiento del derecho de asistencia jurídica gratuita a la Sra. Pérez Aguilar.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 en la alegación de la vulneración del derecho a la tutela judicial efectiva (art. 24.1 CE), en su manifestación de derecho de acceso al recurso, en relación con el art. 119 CE, al denegarle el reconocimiento del derecho a la asistencia jurídica gratuita para interponer recurso de apelación, a pesar de encontrarse en una situación de insuficiencia de recursos económicos para litigar, con el argumento, a su juicio inconstitucional, de que debió solicitar el beneficio al inicio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la suspensión de la tramitación del procedimiento ordinario núm. 117-2012 del Juzgado de Primera Instancia e Instrucción núm. 2 de Quart de Poblet.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sendas providencias de 9 de octubre de 2014,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octubre de 2014 la recurrente presentó en el Registro General de este Tribunal su escrito de alegaciones. Insiste en la necesidad de la suspensión de las resoluciones impugnadas para evitar la preclusión de los plazos para interponer los recursos legalmente procedentes contra la Sentencia dictada en el procedimiento núm. 117-2012.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4 de noviembre de 2014, el Ministerio Fiscal presentó su escrito de alegaciones, oponiéndose a la suspensión solicitada. A esos efectos, argumenta, por un lado, que las resoluciones impugnadas tienen un contenido meramente negativo. Por otro lado, también pone de manifiesto que la denegación de la suspensión no haría perder al amparo su finalidad ya que, en caso de estimarse el recurso, el restablecimiento del derecho podría lograrse declarando la nulidad de la decisión recurrida, así como de las posteriores, y la retroacción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viene de recordar en el fundamento jurídico anterior, criterio decisivo para la estimación de la suspensión instada en un recurso de amparo es la irreparabilidad del perjuicio ocasionado por la ejecución del fallo. En el presente caso la recurrente solicita la suspensión de la decisión judicial por la que se acuerda desestimar la impugnación presentada contra la resolución de la comisión de asistencia jurídica gratuita que le denegó el reconocimiento del derecho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acceder a la suspensión solicitada, ya que la recurrente no ha cumplido con la carga que le incumbe de justificar y argumentar razonadamente los concretos perjuicios que se derivarían de la circunstancia de mantener por el momento la imposibilidad de formular recurso de apelación. En este sentido, la situación de zozobra e inseguridad jurídica que la recurrente alega como fundamento de su solicitud resulta totalmente inadecuada para justificar el otorgamiento de la suspensión solicitada.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