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19 de diciembre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el Auto de 18 de julio de 2013 dictado por la Sección Primera de la Sala de lo Contencioso-Administrativo del Tribunal Supremo en recurso de casación núm. 1311-2013 interpuesto contra la Sentencia dictada el 3 de diciembre de 2012 por la Sección Segunda de la Sala de lo Contencioso-Administrativo del Tribunal Superior de Justicia de Castilla-La Mancha en el recurso número 390-2012.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18 de diciembre de 2014 el Magistrado don Ricardo Enríquez Sancho comunicó a los efectos oportunos que se abstenía de intervenir en el antes indicado recurso de amparo, de conformidad con el art. 80 de la Ley Orgánica del Tribunal Constitucional, por haber formado parte de la Sección Primera de la Sala Tercera del Tribunal Supremo, que dictó el Auto de 18 de julio de 2013, resolución impugnada en el presente recurso de amparo núm. 5401-2014.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Primera de la Sala Tercera del Tribunal Supremo que dictó el Auto de 18 de julio de 2013 en el recurso de casación núm. 1311-2013, que ha sido impugnado en el presente recurso de amparo núm. 5401-2014.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5401-2014,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diciembre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