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18 de marzo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5937-2011 interpuesto por la Generalitat de Catalunya contra los apartados 3 y 5 del art. 4; el apartado 1 del art. 6; el apartado 2 del art. 8 y los anexos III y IV del Real Decreto 804/2011, de 10 de junio, por el que se regula la ordenación zootécnica, sanitaria y de bienestar animal de las explotaciones equinas y se establece el plan sanitario equino. Ha comparecido y formulado alegaciones el Abogado del Estado. Ha sido Ponente la Magistrada Dña.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Tribunal Constitucional el 2 de noviembre de 2011, la Abogada de la Generalitat de Catalunya, en la representación que legalmente ostenta, interpuso conflicto positivo de competencias contra los apartados 3 y 5 del art. 4; el apartado 1 del art. 6; el apartado 2 del art. 8 y los anexos III y IV del Real Decreto 804/2011, de 10 de junio, por el que se regula la ordenación zootécnica, sanitaria y de bienestar animal de las explotaciones equinas y se establece el plan sanitario equino, por considerar que el Estado ha excedido los títulos competenciales que le asisten, vulnerando así las competencias asumidas estatutariamente. Los fundamentos jurídicos en que se sustenta la demanda son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impugnado pretende establecer unas bases comunes para la definición y ordenación del sector, normas de contenido heterogéneo que regulan aspectos diversos como son los zootécnicos, los higiénicos y los sanitarios y que incluye junto a prescripciones obligatorias normas técnicas de detalle o bien obvias y redundantes, o que adolecen de excesiva prolijidad. El Gobierno de la Generalitat no impugna la totalidad de la disposición, sino aquellos apartados de determinados preceptos en los que se incide de forma más penetrante en las competencias autonómicas que vacía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sector equino ha sufrido una importante evolución en los últimos años. Casi abandonado su uso para transporte y trabajo, las actividades más relevantes son las de ocio y deportivas así como el rendimiento cárnico. Se trata de un sector económico que por sí solo tiene una muy escasa entidad, radicando su importancia en las actividades relacionadas con el ocio, turismo rural y servicios con él relacionadas, siendo apenas relevante la industria cárnica en el ámbito de los mercados alimentarios, en comparación con otras producciones cárnicas, cuyo peso en el conjunto de la ganadería es mayor. Su incidencia en la sanidad es, por tanto, ínfima y difícilmente podrá afectar a la salud humana. Por tanto, una regulación consistente en las condiciones de alojamiento de los caballos o el contenido de los libros de explotación tiene poco que ver con la competencia estatal en materia de sanidad o bases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títulos competenciales que invoca el Real Decreto impugnado en su disposición final segunda son la ordenación general de la economía y las bases y coordinación de la sanidad. De otra parte, los títulos autonómicos de aplicación son: (i) la competencia exclusiva en materia de ganadería [art. 116.1 d) del Estatuto de Autonomía de Cataluña (EAC)] que incluye la sanidad vegetal y animal, cuando no tengan efectos sobre la salud humana y la protección de los animales, en el respeto a lo que establezca el Estado en ejercicio de sus competencias de los apartados 13 y 16 del art. 149.1 CE; (ii) la competencia compartida de ordenación, planificación, la determinación, regulación y ejecución de actuaciones dirigidas a preservar y promover la salud pública que incluye la sanidad animal con efectos sobre la salud humana, la sanidad alimentaria y ambiental y la vigilancia epidemiológica [art. 162.3 b) EAC], y finalmente (iii) la competencia de planificación, ordenación y promoción de la actividad económica (art. 152 EAC). De acuerdo con la doctrina constitucional, el alcance material de cada uno de los títulos estatales concretos debe determinarse sobre la base de su contenido y las finalidades que persigue. El art. 149.1.13 CE habilita al Estado para regular e incluso adoptar las medidas necesarias para integrar la agricultura de la Comunidad Autónoma en la política general (STC 80/1985, de 4 de julio), competencia que comprende la aprobación de las directrices y criterios globales de ordenación de un sector concreto y las medidas singulares que sean necesarias para alcanzar los fines propuestos dentro de la ordenación de cada sector. Se trata, por tanto, de una materia de competencia compartida, debiendo primar la competencia autonómica, cuando no se advierta una directa y significativa incidencia sobre la actividad económica general (STC 112/1995, de 6 de julio y 128/1999, de 1 de julio). 	De otro lado, la conexión entre sanidad y sanidad animal ha sido establecida por la doctrina constitucional en la STC 192/1990, de 29 de noviembre FJ 2, sin perjuicio de lo cual debe tenerse en cuenta que el alcance de esta competencia básica no puede desplazar las competencias autonómicas de desarrollo normativo y ejecución de los controles.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expuesto, la demanda analiza de forma pormenorizada cada uno de los preceptos impugnados. El apartado 3 del art. 4 establece las condiciones generales de las construcciones e instalaciones. En algunos casos se trata de especificaciones innecesarias por obvias, en otros casos disposiciones de buenas prácticas en el ejercicio de la actividad que no tienen conexión alguna ni con la economía ni con la sanidad, correspondiendo de lleno a la materia ganadería. La extralimitación se puede deducir si se compara con el contenido de la Ley 8/2003, de 24 de abril, de sanidad animal, cuando regula las condiciones sanitarias básicas que deben cumplirse en las explotaciones animales (arts. 36.2 y 37), remitiéndose a la normativa sectorial.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4.5 se refiere a las condiciones para garantizar el bienestar animal que se introduce con la salvaguarda de la Ley 32/2007, de 7 de noviembre, para el cuidado de los animales en su explotación, transporte y sacrificio. Las condiciones que se establecen adolecen de ser obviedades o redundancias y no tienen cabida en los títulos genéricos del art. 149.1.13 y 16 CE, contrastando con la regulación establecida en otro apartado del mismo precepto, que no se discute, relativo a las condiciones higiénico-sanitarias. El bienestar animal, que tiene por finalidad ahorrar dolor y sufrimiento en la explotación del ganado, tiene su regulación básica en otra ley distinta la cual al referirse a las explotaciones de animales encomienda a las Administraciones públicas que adopten las medidas necesarias para asegurar el bienestar.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6.1 regula el libro de explotación, que tendrá el formato que se apruebe por la autoridad competente y los datos mínimos que se indican en el anexo IV, mientas que la Ley 8/2003 se limita a exigir un libro de explotación, que contenga los datos exigidos por la normativa aplicable debiéndose mantener actualizado. Esta referencia de la Ley 8/2003 lo es a la normativa sectorial que corresponde a la Comunidad Autónoma en materia de sanidad animal [art. 116.1 d) EAC], teniendo en cuenta, además, que el empleo de este documento para el control informativo de determinados aspectos de la explotación ganadera es instrumental para el ejercicio de las competencias que corresponde a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8.2 regula el programa de control, estableciendo que se realizará de acuerdo con lo dispuesto en las partes I y II del anexo III. Se trata de actuaciones sobre determinadas enfermedades equinas, concretando periodicidades en los controles, toma de muestras, etc. Son todas ellas operaciones que se enmarcan en las funciones de ejecución que corresponde a la Comunidad Autónoma, siendo así que el precepto impugnado no se limita a establecer reglas generales, sino que regula de forma acabada el modo y manera de realizar los controles, condicionando la competencia ejecutiva de la Comunidad Autónoma. Se trata, por otra parte, de actuaciones que se refieren a enfermedades que no tienen incidencia sobre la salud humana y que no requerirían de una regulación y coordinación de la intensidad de la aquí regulada.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22 de noviembre de 2011, el Pleno del Tribunal Constitucional acordó admitir a trámite el conflicto positivo de competencias; dar traslado de la demanda para personación y alegaciones al Gobierno de la Nación; comunicar la incoación a la Sala de lo Contencioso-Administrativo del Tribunal Supremo, y publicar la incoación en el “Boletín Oficial del Estado” y en el diario oficial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11 de enero de 2012, el Abogado del Estado, actuando en representación del Gobierno del Estado, presentó sus alegaciones en el Tribunal Constitucional. Comienza en la contestación a la demanda recordando que el problema suscitado en este conflicto es, una vez más, la incidencia de las competencias estatales en las asumidas estatutariamente como exclusivas o compartidas, aspecto sobre el que ha fijado doctrina en la STC 31/2010, FFJJ 59, 60 y 64. De esta forma, la asunción por la Comunidad Autónoma de las competencias de los arts. 116.1 d) y b) y 162.3 EAC no pueden limitar las competencias que asisten al Estado, debiendo tenerse en cuenta que las obligaciones internacionales asumidas por el Estado obligan a reforzar la homogeneización de los aspectos técnicos y operativos. Cita la Directiva 98/58 del Consejo, de 20 de julio de 2000, mediante la que se traspuso al Derecho europeo el Convenio europeo de protección de animales en explotaciones ganaderas, el Reglamento (CE) 504/2008, de la Comisión por el que se aplican las Directivas 90/426/CEE y 90/427/CEE sobre identificación de équidos, el reglamento (CE) 1099/2009, del Consejo, sobre protección de los animales en el momento de la matanza y la Directiva 92/102/CEE que dio lugar al Real Decreto 479/2004, de 26 de marzo por el que se establece y regula el registro general de explotaciones ganaderas (REGA).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cumplimiento de unas condiciones mínimas de construcción, ubicación, higiénico sanitarias y de bienestar animal constituye pieza clave de este tipo de explotaciones, presentes en zonas rurales y urbanas, en desarrollo de los arts. 25, 36, 54 y 56 de la Ley 8/2003, de sanidad animal y de los arts. 4 y 6 de la Ley 32/2007, para el cuidado de los animales en su explotación. Se trata de una norma básica de desarrollo de dos leyes, hallándose la concreta habilitación en la disposición adicional quinta de la Ley 8/2003 y en el art. 4 de la Ley 33/2007, y ambas leyes son dictadas en ejercicio de competencias básicas. Frente a lo razonado por la demanda, entiende el Abogado del Estado, que concurren dos títulos competenciales para el dictado de los preceptos impugnados, de donde se extrae la aplicación de la técnica de la coordinación y no solo la relación bases-desarrollo. Tras explicar el alcance que en la doctrina constitucional se ha dado al título competencial del art. 149.1.13 CE, señala que el sector equino es el más diverso que existe en el ámbito ganadero, de una importancia económica del 0,2 por 100 de la producción final agraria (84,3 millones de euros en 2010), siendo las rentas obtenidas por actividades relacionadas entre 700 y 800 millones de euros. Es manifiesto, en consecuencia, que concurre el citado título competencial para el dictado de la norma impugnada. Por otra parte, tras explicar el contenido del art. 149.1.16 CE y de las bases en materia sanitaria, destaca la vinculación de la norma impugnada con la mejora sanitaria de las explotaciones y con la propia salud humana, y la posibilidad de que las bases desempeñen una labor de coordinación (STC 27/1987, de 27 de febrero) para conseguir la integración de una diversidad de intereses contrapuestos de distintas Comunidades Autónomas para la protección del sector equino. En relación con las epizootias, y en contra de lo alegado en la demanda, las enfermedades expresamente previstas en el anexo II son zoonóticas y con una elevada tasa de mortalidad humana.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concreto sobre los preceptos impugnados, considera que el art. 4.3 es un desarrollo de los arts. 36, 37, 53 y 54 de la Ley 8/2003, que ofrece una mínima regulación para cada una de las condiciones que recoge por lo que no impide a las Comunidades Autónomas su competencia de desarrollo normativo. Forman parte de la competencia estatal ex art. 149.1.16 CE la regulación de aspectos tales como la concreción del área en que se realizará la explotación, así como los métodos de aislamiento del exterior, control eficaz de entradas y salidas; formas y condiciones de la correcta limpieza y desinfección de vehículos; calzado de operarios y visitantes, locales y material y utensilios en contacto con los animales, método de garantizar el agua en cantidad y calidad; sistemas apropiados para el manejo de animales; ubicación y tamaño del material de construcción; medios adecuados de aislamiento de animales sospechosos de estar afectados por enfermedades contagiosas, forma y tamaño de los estercoleros, si en las concentraciones deben o no disponer de dispositivos de ducha para caballos y asistencia veterinaria y en tal caso sus características. Resultan de plena aplicación los razonamientos de las SSTC 158/2011 y 162/2011, que encuadran en la materia básica la regulación de las condiciones de funcionamiento de las explotaciones. El art. 4.3 es, por tanto formal y materialmente básico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4.5 desarrolla para el sector equino las condiciones necesarias para garantizar el bienestar animal, y utiliza las mismas expresiones genéricas y abiertas que fácilmente permiten apreciar la posibilidad de un posterior desarrollo normativo. Se inscribe en la materia sanidad, pues se dirige a mejorar la sanidad animal estableciendo unas mínimas medidas preventivas, y es formal y materialmente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la demanda como principal razón impugnatoria del art. 6.1 y del anexo IV la previa existencia de una regulación autonómica del libro de explotación, pero ello es irrelevante para invalidar la regulación básica posterior. Ambos vienen a desarrollar lo dispuesto en los arts. 38.2, 39 y 56.2 de la Ley 8/2003. Se trata de una regulación de mínimos que tiene, además, un carácter flexible pues el párrafo segundo establece determinadas excepciones y la posibilidad de que las autoridades competentes eximan su llevanza a cierto tipo de explotaciones, mientras que los datos que deben figurar son mínimos, sin que el libro de explotación cumpla una función meramente instrumental. Al contrario, este contenido mínimo sirve para garantizar la trazabilidad de la carne de équidos debiendo incardinarse en la materia sanidad, tal y como señala la STC 158/2011.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8.2 y el anexo III del Real Decreto 804/2011, señala el Abogado del Estado que a pesar del marcado carácter técnico que concurre en el precepto impugnado y que le obliga a ser extenso para definir las materias que comprende, deja amplio margen para el desarrollo normativo. Además los programas del Anexo III son voluntarios, solo se aplican a un reducido número de animales —aquellos que se destinen a la monta natural— siendo el único efecto el de impedir que los animales que adolezcan de una calificación sanitaria oficial frente a ambas enfermedades puedan ser destinados a este tipo de monta. A las calificaciones sanitarias se refiere el art. 44 de la Ley 8/2003. Estas se obtienen por la realización de una serie de pruebas que el anexo II detalla. En lo que se refiere a los controles analíticos con toma de muestras, el anexo III se limita a reproducir el manual de pruebas de diagnóstico y de las vacunas de la Organización Mundial de la Salud. Se trata de una medida técnica indispensable para garantizar la homogeneidad técnica que haga posible la coordinación (STC 32/1983,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marzo de 2015,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cuestiona en este proceso la constitucionalidad de los apartados 3 y 5 del art. 4; el apartado 1 del art. 6; el apartado 2 del art. 8 y los anexos III y IV del Real Decreto 804/2011, de 10 de junio, por el que se regula la ordenación zootécnica, sanitaria y de bienestar animal de las explotaciones equinas y se establece el plan sanitario equino. Entiende la Comunidad Autónoma recurrente que el Estado ha excedido sus títulos competenciales vulnerando las competencias asumidas estatutariamente. Por el contrario, el Abogado del Estado sostiene que todos los preceptos impugnados son manifestación del correcto ejercicio de la competencia que atribuye al Estado el art.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este conflicto debemos comenzar por realizar su encuadramiento competencial. La Generalitat de Catalunya no discute que la norma impugnada se haya dictado en ejercicio de las competencias que ostenta el Estado ex art. 149.1.13 y 16 CE, tal y como establece la disposición final segunda del Real Decreto 804/2011. Su discurso gira en torno a que los concretos preceptos impugnados han sido dictados en ejercicio de la competencia básica en materia de sanidad, que ha sido extravasada por el Estado, dada en algunos casos la obviedad y redundancia de sus determinaciones y, en otros, su prolijidad. El Abogado del Estado, aunque inicialmente señala que concurren ambos títulos competenciales para el dictado de la norma, después, al analizar los preceptos recurridos, se refiere única y exclusivamente al contemplado en el art. 149.1.16 CE, esto es, a la competencia del Estado en materia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tal y como ha reconocido la doctrina constitucional, la competencia estatal de bases y coordinación de la planificación de la economía se proyecta en el subsector de la ganadería, habida cuenta de la relación reconocida y expresa que tiene con la política económica general (SSTC 145/1989, FJ 5; 158/2011, de 19 de octubre, FJ 8 y 207/2011, de 20 de diciembre, FJ 7). Así, este Tribunal ha afirmado que corresponde al Estado, en virtud de su competencia de ordenación general de la economía, establecer las directrices globales de ordenación y regulación del mercado agropecuario nacional, quedando reservada a la Comunidad Autónoma la competencia para adoptar, dentro del marco de esas directrices generales, todas aquellas medidas que no resulten contrarias a las mismas, sino complementarias, concurrentes o neutras, de tal forma que estando encaminadas a mejorar las estructuras de su propia agricultura y ganadería no supongan interferencia negativa o distorsionen la ordenación general establecida por el Estado, sino más bien que sean coadyuvantes o inocuas para esta ordenación estatal. Y, junto a ello, este Tribunal ha reconocido la competencia autonómica para adoptar las disposiciones necesarias en complemento del derecho comunitario europeo y para ejecutar y aplicar en su ámbito territorial normativa comunitaria siempre que, ratione materiae, las Comunidades Autónomas ostenten esa competencia y no rebasen la linde establecida por la normativa comunitaria y la estatal básica o de coordinación (STC 104/2013, de 25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la doctrina constitucional ha puesto de manifiesto el juego del título competencial del art. 149.1.16 CE, en el subsector ganadería (entre otras SSTC 32/1983, de 28 de abril, FJ 3, y158/2011, de 19 de octubre, FJ 10). Así lo reconoció este Tribunal al afirmar que las epizootias que hayan de afectar al ganado se inscriben competencialmente en la materia de sanidad (SSTC 32/1983, de 28 de abril, FJ 3, y 192/1990, de 29 de noviembre, FJ 2), competencia que comprende también las medidas de prevención y lucha contra las enfermedades de los animales, tal y como ha afirmado la STC 158/2011, de 19 de octubre, FJ 10. La competencia estatal de sanidad incluye el establecimiento de las bases y la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116.1 d) del Estatuto de Autonomía de Cataluña (EAC) atribuye en exclusiva a la Comunidad autónoma recurrente la sanidad animal cuando no tenga efectos sobre la salud humana y la protección de los animales. Al mismo tiempo, la competencia compartida en materia de sanidad y salud pública incluye la sanidad animal con efectos sobre la salud humana [art. 162.3 b) EAC]. De ello hay que entender que la competencia sobre sanidad animal en el sector ganadero es sustancialmente una competencia sanitaria aunque se proyecte en éste ámbito. Tal y como precisó la STC 31/2010, FFJJ 59, 60 y 64, la asunción por la Comunidad Autónoma de competencias exclusivas no impide el ejercicio de las exclusivas del Estado ex art. 149.1 CE, sea cuando éstas concurren con las autonómicas sobre el mismo espacio físico u objeto jurídico, sea cuando se trate de materias de competencia compartida, cualquiera que sea la utilización de los términos “competencia exclusiva” o “competencias exclusivas” en los preceptos del Estatuto. En aplicación de esta doctrina, las competencias asumidas por la Comunidad Autónoma en el apartado d) del art. 116.1 EAC están limitadas por las citadas competencias estatales, y así lo tuvo en cuenta la STC 6/2014, de 27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afirmado, cabe señalar que, a la hora de abordar la acomodación de los concretos preceptos impugnados al orden constitucional de competencias, debe partirse de la más específica en que estos se sustentan que es, por otra parte, la técnica utilizada en la Sentencia más reciente en materia de ganadería, la STC 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esta labor, que acometeremos en los siguientes fundamentos jurídicos, se tendrá en cuenta el contenido de los preceptos impugnados y la finalidad que éstos persiguen, no sin antes rechazar el argumento de la Abogacía del Estado, según el cual el alcance de las competencias estatales sería más intenso dado que las obligaciones internacionales asumidas por el Estado obligan a reforzar la homogeneización de los aspectos técnicos y operativos. Pues bien, el reparto interno de competencias no viene prejuzgado por el Derecho comunitario europeo que, salvo excepción, reconoce a los Estados miembros plena autonomía para ordenar la organización interna y el procedimiento destinado al desarrollo y ejecución del Derecho europeo conforme a las propias normas nacionales. En conclusión, este tipo de cuestiones deben resolverse exclusivamente conforme a las normas constitucionales y estatutarias de distribución de competencias, tal y como este Tribunal ha señalado en reiteradas ocasiones. En concreto, en materia de ganadería, cabe citar por todas la STC 79/1992, de 28 de mayo,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impugna el apartado 3 del art. 4 del Real Decreto 804/2011, “condiciones generales de las construcciones e instalaciones”,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explotación se situará en un área delimitada, aislada del exterior y que permita un control eficaz de entradas y salidas de vehículos, personas y animales mediante un vallado perimetral o sistemas equivalentes.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explotación dispondrá de un sistema apropiado a las características de cada explotación para la correcta limpieza y desinfección de vehículos, calzado de los operarios y visitantes, y locales, material y utensilios que están en contacto con los animales.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Deberán disponer de agua en cantidad y calidad higiénica adecuadas para los animales y de dispositivos de reserva de agua o sistemas equivalentes que aseguren su suministro adecuado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Deberán disponer de sistemas apropiados de manejo de los animales, diseñados para facilitar la aplicación de medidas zootécnicas así como los trabajos de identificación y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Dispondrán de un almacén o área destinada específicamente al almacenamiento de piensos que evite su deterioro, la contaminación por agentes exógenos y el acceso de animales.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Contarán con medios adecuados para la observación y aislamiento de animales sospechosos de estar infectados por enfermedades infecciosas o infectados por las mismas, con arreglo a las características de la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Para la gestión de los estiércoles generados en las instalaciones de estabulación, deberán disponer de estercoleros impermeabilizados natural o artificialmente, que eviten el riesgo de filtración y contaminación de las aguas superficiales o subterráneas, con capacidad suficiente para permitir la gestión adecuada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el caso de concentraciones de équidos para concursos o competiciones o para actividades de carácter lúdico o cultural deberán, si la autoridad competente así lo considera necesario, disponer de dispositivos de ducha para caballos y tener acceso a asistencia veterinaria.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lo previsto en la letra a) no será de aplicación a las poblaciones de équidos que vivan en condiciones silvestres o semi-silvestres, lo previsto en las letras b), e), f) y g) no serán de aplicación a las explotaciones equinas extensivas, y lo establecido en las letras b), d), e) y f) g) no serán de aplicación a las explotaciones equinas de pequeña capacidad aunque deberán realizar una adecuada gestión de estiércoles.”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impugnado desarrolla los arts. 36, 37 y 54 de la Ley 8/2003, de sanidad animal. En concreto el art. 36.2 de dicha Ley prevé que las condiciones sanitarias básicas que deben cumplir las explotaciones de animales serán las que establezca la normativa vigente. En todo caso, las explotaciones intensivas y los alojamientos en las extensivas deberán estar aislados, de tal forma que se limite y regule sanitariamente el libre acceso de personas, animales y vehículos. El art. 37 establece que cualquier actividad de explotación animal estará supeditada a la eliminación higiénica de efluentes, subproductos de explotación, residuos de especial tratamiento y cadáveres, de acuerdo con las normas de sanidad animal, salud pública y protección del medio ambiente. Finalmente el art. 54 al regular los requisitos para la autorización de certámenes pecuarios, que corresponde al órgano competente de la Comunidad Autónoma en que radiquen, exige que tengan un emplazamiento higiénico, con unas instalaciones adecuadas, y estar distanciados de explotaciones ganaderas o instalaciones que puedan ser fuente o vehículo de enfermedades de los animales; disponer de medios humanos, materiales y técnicos necesarios para asegurar el correcto desarrollo del certamen, así como un centro de limpieza y desinfección en, al menos, los certámenes de ganado de carácter nacional o en los que se pretenda destinar los animales a comercio intracomunitario. Este precepto remite al reglamento para el resto de requisitos específicos.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su contenido, no cabe duda de que la competencia estatal que se relaciona más efectivamente con el apartado impugnado es la sanidad, materia en la que el Estado dispone, ex art. 149.1.16 CE, de la capacidad para establecer las normas básicas y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inclusión de normas básicas en una disposición reglamentaria obliga a determinar si son formal y materialmente básicas. La disposición final quinta de la Ley 8/2003 autoriza al Gobierno a dictar cuantas disposiciones sean precisas para la aplicación y desarrollo de esta Ley, de manera que una interpretación sistemática de la misma debe llevar a entender que la remisión a la “normativa vigente” que realiza el art. 36.2 para la determinación de las condiciones sanitarias básicas, o la llamada del art. 37 a las “normas de sanidad animal”, o finalmente la remisión al reglamento para completar los requisitos exigidos a los certámenes, lejos de establecer una reserva de competencia autonómica, como alega la Comunidad recurrente, incluye el desarrollo por el Gobierno, en una materia esencialmente técnica, de lo regulado en la propia ley en lo que sea preciso para garantizar el mínimo denominador común de aplicación en todo el territorio, que es, en definitiva, lo que supone la legislación básica. Ello no es óbice para que, aun cuando lo básico pueda, como ocurre en este caso, tener acomodo en una norma reglamentaria, le sea exigible, como a las leyes, que su carácter básico se declare expresamente en la norma o se infiera de su estructura en la misma medida para evitar elementos de confusión e incertidumbre (STC 158/2011, de 19 de octubre, FJ 7). Este requisito se ve satisfecho por la disposición final segunda del Real Decreto cuestionado cuando establece que se dicta al amparo de lo dispuesto en el artículo 149.1.13 y 16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señalado conduce a considerar que la Ley 8/2003 otorga cobertura al precepto impugnado, en cuanto que establece, para un concreto tipo de explotaciones ganaderas, las equinas, prescripciones técnicas sanitarias y relativas al tratamiento para la eliminación de un tipo de subproducto, el estiércol, directamente relacionado con la sanidad animal y humana, con el medio ambiente etc. Ello, junto con la afirmación de su carácter básico por la disposición final segunda del reglamento impugnado, permite entender justificado el cumplimiento de las exigencias de la normativa básica desde la perspectiva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Materialmente, todas estas medidas —aislamiento y control de entradas; sistema de limpieza y desinfección; agua; sistemas de tratamiento de animales adaptados a la aplicación de medidas zootécnicas; aislamiento de alimentos para caballos; observación de animales sintomáticos, medidas de limpieza de équidos en los certámenes y medidas de eliminación del estiércol— tienen la finalidad de minimizar los riesgos sanitarios y medioambientales de todo orden que generan estas explotaciones y la eliminación de sus residuos. Ahora bien, como recuerdan las SSTC 207/2011, de 20 de diciembre, FJ 8, y 158/2011, FJ 10, estas normas básicas deben ser de mínimos, pudiendo ser completadas con mayor rigor de protección por las Comunidades Autónomas sin que lo básico tenga vetado la regulación de lo obvio, redundante o propio del sentido común, pues corresponde al Estado definir el contenido material de lo básico siempre que se respeten los límites anteriormente 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las prescripciones que contiene el apartado impugnado utilizan conceptos indeterminados que permiten su concreción por la Comunidad Autónoma a quien corresponde la definición de los sistemas de cerramiento equivalentes al vallado, de los controles eficaces de salidas; de los sistemas de desinfección, de la cantidad y calidad del agua, de los sistemas de manejo de animales, de las características del almacén de piensos, de los medios para la observación de los animales, de las formas de impermeabilización de estercoleros y su capacidad,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apartado 3 del art. 4 del Real Decreto 804/2011 no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impugna el apartado 5 del art. 4, “condiciones para garantizar el bienestar animal”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previsto en la Ley 32/2007, de 7 de noviembre, para el cuidado de los animales en su explotación, transporte y sacrificio, deberán cumplirse los siguientes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explotaciones dispondrán de instalaciones o sistemas apropiados que permitan, en la medida en que sea necesario y posible, la protección contra las inclemencias del tiempo y los depredadores.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materiales que se utilicen para la construcción, en particular de recintos y de equipos con los que los animales puedan estar en contacto, no deberán ser perjudiciales para los animales y deberán poderse limpiar y desinfectar a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instalaciones para alojar a los animales se construirán y mantendrán de forma que no presenten bordes afilados ni salientes, que puedan causar heridas a los animales, y que contemplen el necesario vallado en función del tipo de explotación, salvo, en este último caso, en las explotaciones extensivas, pastos y de animales silvestres o semisilvestres.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interior de las construcciones donde se alojen animales, la circulación del aire, el nivel de polvo, la temperatura, la humedad relativa del aire y la concentración de gases deben mantenerse dentro de los límites que no sean perjudiciales.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No se limitará la libertad de movimientos propia de los animales de manera que se les cause sufrimiento o daños innecesarios, teniendo en cuenta la edad del animal y su estado fisiológico.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animales deberán recibir una alimentación sana, que sea adecuada a su edad y especie y en suficiente cantidad con el fin de mantener su buen estado de salud y de satisfacer sus necesidades de nutrición. Todos los animales deberán tener acceso al agua, en cantidad y calidad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materia más directamente afectada en este caso es la sanidad animal, en la que debe circunscribirse el bienestar animal por la estrecha relación que guarda con ésta. En concreto, el art. 4 de la Ley 32/2007, de 7 de noviembre, para el cuidado de los animales, en su explotación, transporte, experimentación y sacrificio, determina que las Administraciones públicas adoptarán las medidas necesarias para asegurar que, en las explotaciones, los animales no padezcan dolores, sufrimientos o daños inútiles, para lo que se tendrá en cuenta su especie y grado de desarrollo, adaptación y domesticación, así como sus necesidades fisiológicas y etiológicas, de acuerdo con la experiencia adquirida, los conocimientos científicos y la normativa comunitaria y nacional de aplicación en cada caso. La disposición sexta de esta Ley autoriza al Gobierno, en el ámbito de las competencias del Estado, a dictar cuantas disposiciones sean precisas para la aplicación y desarrollo de esta Ley, y en particular, para concretar el régimen de infracciones y sanciones dispuesto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concluir, por las mismas razones señaladas en relación al apartado cuarto de este mismo precepto, que esta regulación es formal y materialmente básica. Lo es formalmente a la vista de la remisión que la disposición final sexta realiza al desarrollo reglamentario del Gobierno sin perjuicio de la competencia de las Administraciones competentes para su desarrollo, y de la disposición final segunda del reglamento impugnado que afirma su carácter básico. Materialmente, porque todas las prescripciones establecidas en el apartado impugnado tienden a garantizar que los équidos no sufran dolor, padecimiento o daños inútiles, dejando un amplio margen de desarrollo normativo a las Comunidades Autónomas, ya que los conceptos jurídicos indeterminados que se utilizan para la determinación de las bases, tales como instalaciones apropiadas; materiales no perjudiciales, límites que no sean perjudiciales, edad del animal y estado fisiológico etc. permiten su concreción por la Comunidad Autónoma. Esta conclusión se ve corroborada, a mayor abundamiento, por la propia recurrente cuando afirma que se trata de obviedades y redundancias y que, precisamente por ello, no tienen cabida en el título de lo básico. En razón de lo expuesto, el apartado 5 del art. 4 del Real Decreto 804/2011 no vulnera las competencias de la Comunidad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6.1 del reglamento impugnado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libro de explotación, que podrá ser llevado de forma electrónica, deberá tener un formato aprobado por la autoridad competente y deberá contener los datos mínimos que se indican en el anexo IV. No obstante lo anterior, el libro de explotación de los mataderos podrá no incluir los datos contenidos en los párrafos b), f), g), j), k) y l) del anexo IV, debiendo, además, en cualquier caso, retener el DIE del animal sacrificado, y hacer constar en el libro de explotación que se ha comprobado que en el DIE adjunto consta expresamente, en la parte II de su sección IX, que se trata de un animal destinado desde su origen al sacrificio para consumo humano. Lo señalado en este apartado se entenderá sin perjuicio del resto de comprobaciones de las restantes secciones del DIE y sin perjuicio del resto de información que debe tener en su poder a efectos del cumplimiento del Real Decreto 361/2009, de 20 de marzo, por el que se regula la información sobre la cadena alimentaria que debe acompañar a los animales destinados a sacrificio, y de acreditación de lo exigido en el Real Decreto 54/1995, de 20 de enero, sobre protección de los animales en el momento de su sacrificio o matanza y, en este último caso, a 	partir del 1 de enero de 2013, en el Reglamento (CE) n.º 1099/2009, del Consejo, de 24 de septiembre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del anexo IV titulado “contenido mínimo del Libro de explotación",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Código REGA de la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Nombre, coordenadas geográficas y/o dirección de la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Identificación del titular, NIF, pasaporte o tarjeta de residencia, dirección completa y, en su caso, teléfono fijo y/o móvil, y/o fax.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Códigos de identificación de los animales presentes en la explotación, de acuerdo con lo establecido en el Real Decreto1515/2009, de 2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Especie, sexo, raza y fecha de nacimiento del animal.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Inspecciones y controles: fecha de realización, motivo, número de acta, en su caso, e identificación 	del veterinario actuante.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Nacimientos y muertes en la explotación con la fecha del suceso.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Posibles incidencias en la identificación de los animales.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Entrada de animales: fecha, código de la explotación de procedencia, identificación del animal número de guía, certificado sanitario o documento de traslado, identificación del transportista y número de matrícula del vehículo y, en su caso, de la parte del medio de transporte que contenga a los animales.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Salida de animales: fecha, código de la explotación de destino, identificación del animal y número de guía, certificado sanitario o documento de traslado.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Identificación de las personas al cuidado de los animales.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Nombre, apellidos y firma del representante de las autoridades competentes que haya comprobado el 	registro y la fecha en la que se llevó a cabo la comprobación.”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6.1 impugnado así como el anexo, que determina el contenido mínimo del libro de explotación, deben analizarse en el contexto que establece la Ley 8/2003, de sanidad animal. El art. 38 de la citada Ley regula el registro y libro de explotación, sobre el que tienen competencias las Comunidades Autónomas en la que radiquen las explotaciones, aunque contempla la existencia de un registro nacional de carácter informativo, directamente relacionado con el sistema de identificación (art. 39 de la Ley 8/2003) de las especies animales a la que nuestro Estado viene obligado por la Directiva 92/102/CEE del Consejo, de 27 de noviembre de 1992, relativa a la identificación y al registro de animales, incorporada al ordenamiento jurídico español por el Real Decreto 205/1996, de 9 de febrero, por el que se establece un sistema de identificación y registro de las especies bovina, porcina, ovina y caprina. Esta obligación del derecho europeo ha sido ampliada por el Estado español, en la Ley de sanidad, a todas las explotaciones ganaderas ubicadas en España, siendo el Real Decreto 479/2004, de 26 de marzo, el que regula este registro (REGA) así como los datos necesarios para llevar a cabo las inscripciones y la caracterización del código de identificación de cada explotación. El registro general de explotaciones ganaderas se nutre de los datos obrantes en los registros gestionados por los órganos competentes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materia en la que se inscribe el apartado impugnado tiene, en consecuencia, directa conexión con la sanidad animal a la que sirve la identificación de las especies, pues tal y como este Tribunal afirmó en la STC 158/2011, de 19 de octubre, FJ 11: “No existe duda, por tanto, que la identificación del ganado forma parte de un conjunto de medidas sanitarias dirigidas a la prevención y lucha contra las enfermedades de los animales, siendo más específica esta finalidad que otras de orden económico o medioambiental que, sin duda, también están presentes”. El apartado impugnado es formalmente básico, pues constituye un desarrollo para las explotaciones equinas de la previsión de los arts. 38 y 39 de la Ley 8/2003, amparado por la disposición final quinta de esta norma legal. Y es materialmente básico pues se limita a establecer cuándo es exigible, a determinar que podrá ser llevado de forma electrónica, que deberá tener un formato aprobado por la autoridad competente y deberá contener los datos mínimos que se indican en el anexo IV, según el tipo de explotación, dejando un margen de desarrollo normativo a las Comunidades Autónomas. En concreto, es necesaria la determinación de los datos mínimos para que el registro general de explotaciones ganaderas pueda cumplir su función informativa, sin perjuicio de que la Comunidad Autónoma recurrente pueda ampliarlos en aquello que considere necesario para el ejercicio de sus competencias y, en especial, de la asumida en materia de ganadería.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impugna el apartado 2 del art. 8 del Real Decreto 804/2011 (“El programa de control se realizará de acuerdo a lo establecido en las partes I y II del anexo III”) y el anexo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apartado se inscribe en el art. 8, relativo a los programas sanitarios de control oficial de enfermedades equinas y de vigilancia epizootiológica, cuya ejecución corresponde a la Comunidad Autónoma. El anexo III regula los programas de control oficial frente a dos enfermedades de transmisión sexual, la arteritis viral equina (parte I) y la metritis contagiosa equina (parte II), estableciendo qué caballos, de todos los reproductores, están sujetos al programa —los destinados a la monta natural—, la periodicidad del control analítico y las condiciones para realizarlo, las técnicas analíticas a utilizar para la identificación del virus; las calificaciones sanitarias; las normas para la cubrición, y el protocolo sanitario para realizar las vacunaciones.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materia afectada es sin duda la sanidad, en la que se inscriben las enfermedades animales y las técnicas preventivas de las mismas (STC 158/2011, de 19 de octubre, FJ 10). Alega la Comunidad recurrente que el art. 8.2, puesto en relación con el anexo III, establece una regulación de las competencias de ejecución autonómicas que determina su ejercicio cuando se trata de enfermedades que no tienen incidencia sobre la salud humana por lo que no requerirían de una función de coordinación tan intensa.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función de coordinación, en concreto en materia sanitaria, este Tribunal ya afirmó en la STC 32/1983, de 28 de abril, FJ 2 que persigue la integración de la diversidad de las partes o subsistemas en el conjunto, evitando contradicciones y reduciendo disfunciones que, de subsistir, impedirían o dificultarían respectivamente la realidad misma del sistema. Por ello, aunque constituye un reforzamiento o complemento de la noción de bases, es una competencia distinta a la de fijación de las bases, y presupone lógicamente que hay algo que debe ser coordinado, esto es, presupone la existencia de competencias de las Comunidades Autónomas en materia de sanidad. El Estado, al coordinarlas, debe obviamente respetarlas, pues ni la fijación de bases ni la coordinación general deben llegar a tal grado de desarrollo que dejen vacías de contenido las correspondientes competencias de las Comunidades Autónomas. En definitiva, debe ser entendida como la fijación de medios y de sistemas de relación que hagan posible la información recíproca, la homogeneidad técnica en determinados aspectos y la acción conjunta de las autoridades sanitarias estatales y comunitarias en el ejercicio de sus respectivas competencias de tal modo que se logre la integración de actos parciales en la globalidad del sistema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observarse que la regulación técnica que incluye el anexo III sólo afecta al control de la arteritis viral equina y la metritis contagiosa equina, quedando el resto de las enfermedades mencionadas en el anexo II sujetas a los programas de vigilancia epizootiológica que las Comunidades Autónomas establezcan. Si a ello se añade que los programas afectan a un número muy limitado de animales y contienen normativa técnica que pretende garantizar, a través incluso de la remisión a protocolos internacionales de los sistemas de análisis, la fiabilidad de los controles a efectos de impedir la extensión de estas dos enfermedades, no cabe afirmar que las competencias de ejecución de la Comunidad Autónoma en materia de vigilancia sanitaria animal hayan sido predeterminadas o vaciadas de contenido. Por tanto, ni el art. 8.2 ni el anexo III del reglamento impugnado vulneran las competencias de la Comunidad Autónoma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conflicto positivo de competencias interpuesto por la Generalitat de Catalunya.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marzo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Luis Ignacio Ortega Álvarez y don Fernando Valdés Dal-Ré a la Sentencia dictada en el conflicto positivo de competencia núm. 5937-2011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(LOTC) y con pleno respeto a la opinión de la mayoría del Tribunal, debemos manifestar nuestra discrepancia con la Sentencia dictada, por las razones ya defendidas en su momento durante la deliberación y que expresamos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consideramos que la Sentencia hubiera debido abordar el encuadramiento de la presente controversia en el sistema material de distribución de competencias entre el Estado y las Comunidades Autónomas de forma mucho más precisa y cuidadosa en relación tanto con los preceptos constitucionales y estatutarios aplicables como con la doctrina constitucional al respecto.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aborda esta cuestión en su fundamento jurídico 2 y lo hace de una forma extremadamente somera, sin examinar con el detalle y la precisión que hubieran resultado necesarios, los títulos autonómicos que se relacionan con la competencia estatal en materia de sanidad ex art. 149.1.16, que es la aquí concernida. La Sentencia solventa la cuestión con la mera cita de los títulos autonómicos de los arts. 116.1 d) y 162.3 b) del Estatuto de Autonomía de Cataluña (EAC) y la afirmación de que “la competencia sobre sanidad animal en el sector ganadero es sustancialmente una competencia sanitaria aunque se proyecte en éste ámbito”, para luego concluir que “las competencias asumidas por la Comunidad Autónoma en el apartado d) del art. 116.1 EAC están limitadas por las citadas competencias estatales, y así lo tuvo en cuenta la STC 6/2014, de 27 de enero,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en su dicción literal el art. 116.1 d) EAC atribuye a la Comunidad Autónoma, en el marco de sus competencias sobre agricultura y ganadería, la competencia exclusiva en materia de “sanidad vegetal y animal cuando no tenga efectos sobre la salud humana y la protección de los animales”. Paralelamente, en el art. 162.3 b) EAC, la competencia compartida se circunscribe a la “sanidad animal con efectos sobre la salud humana”. Interesa advertir que la sanidad animal sin efectos sobre la salud humana no se concibe por el Estatuto de Autonomía de Cataluña como parte integrante de la “sanidad” y la “salud pública”, sino de la “agricultura y ganadería”. Por su parte la sanidad animal con efectos sobre la salud humana se integra en la materia “sanidad”, más específicamente la “salud pública”. Es cierto que la referencia del art. 116 EAC al 149.1.16 CE evidencia que la “sanidad animal que no tenga efectos sobre la salud humana” no queda, como podría parecer en primera instancia, circunscrita, respecto al título de intervención estatal, al mero ámbito de la ordenación de la economía del sector primario sino también vinculada al título constitucional de “sanidad”.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Señalado lo anterior, es claro que, atendiendo al objeto y finalidad de las normas impugnadas, nos hallaríamos en el ámbito del art. 149.1.16 CE en relación con lo dispuesto en el art. 116.1 d) EAC. Así, el adecuado encuadramiento competencial requería interpretar el alcance de las citadas competencias autonómicas cuando no esté comprometida la salud humana, como es el caso. La Sentencia no lleva a cabo esta operación, más que de modo somero y por referencia a jurisprudencia anterior, que no se cita correctamente y que no se ha adentrado en el análisis de los citados títulos competenciales estatutarios, que específicamente acotan un ámbito de competencias a favor de la Comunidad Autónoma lógicamente más intenso cuando no está en juego la salud humana. En cuanto a lo primero estimamos que la correcta lectura de la doctrina de las SSTC 32/1983, de 28 de abril, FJ 3; 192/1990, de 29 de noviembre, FJ 2; y 158/2011, de 19 de octubre, FJ 9, lleva a conclusiones mucho más matizadas respecto al alcance de la competencia estatal, pues aunque, conforme a la doctrina las epizootias que hayan de afectar al ganado se inscriben competencialmente en la materia de sanidad, eso no puede servir para legitimar cualquier tipo de medida estatal. De hecho las examinadas en las Sentencias citadas se referían esencialmente a medidas de naturaleza coordinadora, que presupone la actuación autonómica, o preventivas y, en este caso, es patente que, al menos alguna de las normas impugnadas, exceden, con mucho, dichos ámbitos.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Hay también un segundo problema de principio en la Sentencia, que consiste en su argumentación acerca de la necesaria “densidad normativa” de las bases estatales. En nuestra opinión esta construcción, en la que late la idea de que lo que es obvio ha de ser necesariamente básico, se sitúa a espaldas de la doctrina constitucional sobre la noción de lo básico. Como es conocido esa doctrina ha tenido un desarrollo muy extenso y matizado, que entre otras cosas implica la necesidad de analizar en una perspectiva forzosamente casuística el contenido de cada precepto calificado como básico, en el contexto de las finalidades a las que sirve y de su propio contenido. Es cierto que esa aproximación en la práctica ha dado como resultado una interpretación no precisamente restrictiva del alcance de lo básico en la doble perspectiva material y formal, pero estimamos que el Tribunal debiera evitar utilizar argumentos que, con escaso fundamento en su doctrina, pueda expandirla todavía más, lo que sucedería si se consagra esta idea de la escasa densidad normativa como consustancial a lo básico.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combinación de ambos elementos, produce como resultado un enjuiciamiento más que condescendiente con la regulación estatal que conduce a la desestimación integra del conflicto, cuando una adecuada delimitación competencial y un entendimiento de lo básico ajustado a los parámetros de nuestra doctrina hubiera debido conducir a conclusiones algo diferentes. Ello es particularmente patente en el caso de los arts. 4.5 y 8.2 en su remisión al anexo III.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al primero de ellos, relativo a las denominadas “condiciones para garantizar el bienestar animal”, la Sentencia simplemente afirma que “la materia más directamente afectada en este caso es la sanidad animal, en la que debe circunscribirse el bienestar animal por la estrecha relación que guarda con ésta”. A nuestro juicio, la inclusión sin matices de la materia “bienestar animal” en la “sanidad animal” y, con ello, en el ámbito de la legislación básica en materia de sanidad (art. 149.1.16 CE) es un nuevo ejemplo de injustificada expansión de la competencia estatal, en la medida en que la Sentencia no repara solo en que el tratamiento de la “protección de los animales” figura en el Estatuto de Autonomía de Cataluña como competencia exclusiva autonómica, cuanto tampoco en que resulta evidente que, dado el tenor literal del precepto, no se refiere a cuestiones relacionadas con epizootias a las que, según la doctrina que la Sentencia dice aplicar, sería de aplicación el título estatal en materia de sanidad. El bienestar animal, que ha sido objeto de amplia regulación en el Derecho europeo, tiene una regulación cuidadosamente limitada por razones competenciales en la Ley estatal 32/2007, de 7 de noviembre, para el cuidado de los animales, en su explotación, transporte, experimentación y sacrificio. Quiere decirse con ello que no se trata de negar la competencia del Estado para regular determinados aspectos del bienestar animal, pero consideramos a todas luces excesivo reconducir toda la regulación al ámbito de la competencia estatal sobre legislación básica en materia de sanidad, como parece apuntar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el razonamiento de la Sentencia acerca del anexo III impugnado es sumamente discutible pues, en esencia, lo que viene a sostenerse es que la detallada regulación del programa de control que contiene sólo afecta a dos enfermedades y que, puesto que el resto de las previstas en la norma quedan sujetas a los programas de vigilancia epizootiológica que las Comunidades Autónomas establezcan, eso hace que no se vulneren sus competencias. Pero eso no es, en realidad, lo que debía resolverse, sino que lo hubiera debido determinarse es la razón por la que era necesaria esa detallada intervención estatal en relación, precisamente, con esas dos enfermedades, para lo que es absolutamente indiferente que, con respecto a las restantes, no se vulnerasen las competencias autonómicas. Antes al contrario, el contraste entre los anexos II y III del Real Decreto hace todavía más necesaria una indagación que la Sentencia renuncia a realizar, consagrando, nuevamente, una interpretación sumamente expansiva de las competencias estatales.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marzo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