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13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6069-2009 promovida por la Sección Cuarta de la Sala de lo Contencioso-Administrativo de la Audiencia Nacional respecto de la disposición adicional cuadragésima octava de la Ley 2/2004, de 24 de diciembre, de Presupuestos Generales del Estado para 2005, por posible vulneración del art. 134.7 de la Constitución. Han intervenido y formulado alegaciones el Abogado del Estado, en la representación que ostenta, el Fiscal General del Estado y la representación procesal de la entidad “Roche Farma, S.A.”.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junio de 2009 tuvo entrada en el Registro General del Tribunal Constitucional un escrito de la Sección Cuarta de la Sala de lo Contencioso-Administrativo de la Audiencia Nacional al que se acompaña, junto al testimonio del correspondiente procedimiento, el Auto de 15 de junio de 2009 por el que se acordaba plantear una cuestión de inconstitucionalidad en relación con la disposición adicional cuadragésima octava de la Ley 2/2004, de 27 de diciembre, de presupuestos generales del Estado para 2005, por la que se introducía una nueva disposición adicional novena en la Ley 25/1990, de 20 de diciembre, del medicamento, relativa a los “ingresos de los empresarios, grupos empresariales, fabricantes e importadores de medicamentos y sustancias medicinales por descuentos por volumen de ventas al Sistema Nacional de Salud”, por su posible contradicción con el art. 134.7 de la Constitución Española (en adelante,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Roche Farma, S.A., interpuso un recurso contencioso-administrativo ante el Tribunal Superior de Justicia de Madrid contra la resolución de la Ministra de Sanidad y Consumo de fecha 8 de febrero de 2007, estimatoria parcialmente (en el sentido de ordenar la aplicación de la minoración correspondiente a la calificación PROFARMA) del recurso de alzada interpuesto por dicha entidad contra la resolución de la Dirección General de Farmacia y Productos Sanitarios de fecha 1 de junio de 2006, sobre regularización de ingresos efectuados en el ejercicio 2005, de conformidad con lo establecido en la disposición adicional novena de la Ley 25/1990, en la redacción que le dio la Ley 2/2004. Esta disposición regulaba un ingreso cuatrimestral que resultaba de aplicar un determinado porcentaje sobre el volumen cuatrimestral de ventas de medicamentos y sustancias medicinales al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con fecha de 10 de septiembre de 2007 (procedimiento núm. 422-2007), la Sección Octava de la Sala de lo Contencioso-Administrativo del Tribunal Superior de Justicia de Madrid acordó declararse objetivamente incompetente para conocer del recurso, remitiendo las actuaciones a la Sala de lo Contencioso-Administrativo de la Audiencia Nacional, que aceptó la competencia (procedimiento núm. 385-2007).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su escrito de recurso la entidad Roche Farma, S.A., defendía que aquella disposición adicional novena de la Ley 2/2004 era inconstitucional, al considerar que el ingreso en ella establecido constituía un auténtico tributo que, por haber sido establecido mediante una Ley de presupuestos generales del Estado, resultaba contrario a la prohibición prevista en el art. 134.7 CE, además de vulnerar los principios de capacidad económica y no confiscatoriedad protegidos por el art. 31.1 CE, y el principio de igualdad garantizado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Concluso el recurso, y señalado por providencia con fecha de 2 de enero de 2009 para votación y fallo el día 25 de febrero siguiente, por providencia del mismo día 25 de febrero de 2009, y de conformidad con el art. 35.2 de la Ley Orgánica del Tribunal Constitucional (en adelante, LOTC), la Sección acordó oír a las partes y al Ministerio Fiscal para que alegasen lo que considerasen oportuno sobre la pertinencia de plantear una cuestión de inconstitucionalidad con relación a la disposición adicional novena de la Ley 25/1990, de 20 de diciembre, de medicamento, en la redacción dada por la Ley 2/2004, de 27 de diciembre, de presupuestos generales del Estado para 2005, por posible vulneración del art. 134.7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Evacuado el trámite de alegaciones conferido, tanto la representación procesal de la parte actora como el Ministerio Fiscal interesaron el planteamiento de la cuestión de inconstitucionalidad, al considerar ambos que la disposición adicional controvertida instituía un nuevo tributo por Ley de presupuestos cuando el art. 134.7 CE prohíbe a esta norma legal crear tributos. El Abogado del Estado, por su parte, consideró improcedente el planteamiento de la cuestión, no sólo por ser innecesario al estar pendiente un recurso de inconstitucionalidad (núm. 38-2005) sobre diferentes preceptos de la Ley 2/2004, de 27 de diciembre (y entre ellos, la disposición adicional cuadragésima octava que introducía la disposición adicional novena en la Ley 25/1990), sino también por considerar constitucional la disposición controvertida pues, a su juicio, no podía considerarse como un tributo por tratarse de un mero descuento sobre el volumen de ventas.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el órgano judicial proponente, tras precisar los antecedentes de hecho en el planteamiento de la cuestión y delimitar el contenido de precepto cuestionado, realiza, en síntesis, las consideraciones que a continuación se extractan: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Arranca el Auto de planteamiento concretando las razones por las que la resolución administrativa impugnada en el proceso a quo rechazaba la consideración de los ingresos previstos en la disposición controvertida como tributos. Concretamente, porque el establecimiento de un “descuento por volumen de ventas” de los fabricantes o importadores de medicamentos del Sistema Nacional de Salud no pretendía sino regular el precio del medicamento a través de un mecanismo indirecto, tratándose de verdaderos rappels en los que el Estado actúa como un cliente —principal cliente— que exige un descuento por el volumen de ventas a las industrias proveedoras, y sin que aquellas personas y entidades que no suministrasen medicamentos al Servicio Nacional de Salud tuviesen que satisfacer ingreso alguno. Desde esta postura, añade el Auto, no se podía considerar aquel descuento como un impuesto sobre las ventas, ni por tanto podía calificarse como una prestación patrimonial de carácter público, ni como un tributo, pues el descuento no se hallaría ligado a la capacidad económica de los proveedores al no actuar sobre sus ventas o beneficios totales, sino únicamente sobre la partida correspondiente a las dispensadas en virtud de receta con cargo a los fondos del Estado para, de esta forma, fijar su precio. En consecuencia, el descuento no afectaría a la capacidad económica pues sería exclusivamente una forma de regular un precio. Además, añade, carecería del carácter general propio de cada tributo, pues no afectaría a todos los fabricantes o importadores de medicamentos o sustancias medicinales, sino sólo a aquéllos que venden al Sistema Nacional de Salud. En fin, le faltaría igualmente la obligatoriedad que concurre en todo tributo al no ser exigible a todas las personas y entidades, sino sólo y exclusivamente a aquellas que voluntariamente decidiesen dispensar sus productos a través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precisa el Auto de planteamiento las razones por las que la parte recurrente consideraba que la disposición controvertida establecía un verdadero tributo y no una simple medida de control de precios. Señala a este respecto que para la actora nos encontraríamos ante un ingreso público, al tratarse del pago de unas cantidades de dinero al Estado, afectadas, en un 50 por 100, al desarrollo de una política de cohesión sanitaria y otros fines, y el otro 50 por 100, a fines de investigación del Instituto de Salud Carlos III. Se trataría, además, de una prestación pecuniaria exigida mediante liquidación notificada por una Administración pública (el Ministerio de Sanidad y Consumo), cuyo devengo se produciría por la realización del supuesto de hecho (hecho imponible) al que la Ley vincula el deber de contribuir (las ventas a través de receta oficial al Sistema Nacional de Salud por las personas físicas o jurídicas que se dediquen a la fabricación o importación de medicamentos, sustancias medicinales o cualesquiera otros productos sanitarios) y cuyo fin último sería la obtención de los ingresos necesarios para el sostenimiento de los gastos públicos (concretados en el desarrollo de la política de cohesión sanitaria, en el desarrollo de programas de formación de educación sanitaria de la población para favorecer el uso racional o responsable del medicamento y en la investigación). No se trataría, pues, de una medida de control de los precios de los medicamentos, al no afectar al precio en sí, tratándose de un impuesto sobre el volumen de ventas realizadas al sistema público de salud por parte de las compañías farmacéuticas. En fin, añade el Auto de planteamiento, para la actora el hecho de que los descuentos no estuviesen ligados —según defiende la Administración demandada— a la capacidad económica, no impediría que se tratase de un tributo, sino que, simplemente, se trataría de un tributo ajeno al principio de capacidad económica; igualmente, el hecho de que no afecte a todos los fabricantes o importadores no sería determinante de su condición de tributo; y la pretendida falta de obligatoriedad basada en que se puede renunciar a suministrar medicamentos al Sistema Nacional de Salud, es irreal porque sería tanto como renunciar a desarrollar la actividad en la medida que el Estado es el principal demandante de medicamentos.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delimitadas las posturas de la Administración demandada y de la parte demandante, señala el órgano judicial, antes de nada, que de la validez constitucional de la disposición adicional cuestionada depende la decisión a adoptar en el proceso, pues si aquella es inconstitucional, también lo será la liquidación impugnada, y si no lo es, no podrá imputársele defecto alguno de legalidad. Hecha esta precisión, pasa a concretar las razones por las que considera que la disposición adicional cuestionada vulnera el art. 134.7 CE, que prohíbe la creación de tributos mediante la Ley de presupuestos. Así, tras precisar el contenido tal disposición, precisa que, a su juicio, el ingreso previsto en ella no puede considerarse como una medida de intervención en los precios de los medicamentos, ni como un rappel o descuento sobre el volumen de ventas, pues participa de la naturaleza tributaria de las prestaciones patrimoniales de carácter público del art. 31.3 CE y, en particular, de las exacciones parafiscales, al reunir las características propias de este tipo de prestaciones, cuales son, como apunta, entre otras, la Sentencia del Tribunal Supremo de fecha 13 de julio de 2007 (recurso de casación núm. 86-2005), la coactividad, la extrapresupuestariedad y la afectación.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concurren los requisitos para atribuirle la expresada naturaleza tributaria (en el sentido definido por el Tribunal Constitucional en las SSTC 182/1997 y 63/2003), en la medida que se trata de una prestación patrimonial coactiva que se satisface, directa o indirectamente, a los entes públicos con la finalidad de contribuir al sostenimiento de los gastos público. De esta manera, con independencia de la calificación formal que le otorga la ley (STC 233/1999, FJ 18), el “ingreso por descuento sobre el volumen de ventas al Sistema Nacional de Salud” reviste la naturaleza de una prestación patrimonial de carácter público de naturaleza tributaria, en primer lugar, porque establece un hecho imponible como es “la fabricación o importación de medicamentos, sustancias medicinales y cualesquiera otros productos sanitarios que se dispensen en territorio nacional a través de receta oficial del Sistema Nacional de Salud”; en segundo lugar, porque configura como obligados tributarios (sujetos pasivos) a “[l]as personas físicas, los grupos empresariales y las personas jurídicas no integradas en ellos que se dediquen en España a la fabricación o importación de medicamentos, sustancias medicinales y cualesquiera otros productos sanitarios que se dispensen en territorio nacional a través de receta oficial del Sistema Nacional de Salud”; en tercer lugar, porque se determina una cuota mediante la aplicación a la base imponible (volumen cuatrimestral de ventas) de unos porcentajes sobre los tramos que se contempla en la escala que establece; en cuarto lugar, porque se establece el deber de los obligados al pago de realizar el ingreso cuatrimestralmente, practicándose la regularización por el Ministerio de Sanidad en el primer plazo del ejercicio siguiente mediante la comunicación de la cantidad a ingresar a cada fabricante e importador afectado; y, en quinto lugar, porque se articula un ingreso de carácter extrapresupuestario que no tiene reflejo en la Ley de presupuestos, pues no se encuentra incluido en la totalidad de ingresos y gastos del sector público estatal, y que se encuentra afecto a unos fines concretos como son la investigación en el ámbito de la biomedicina, el desarrollo de una política de cohesión sanitaria, el desarrollo de programas de formación para facultativos médicos y el desarrollo de programas de educación sanitaria de la población para favorecer el uso racional o responsable de medicamentos.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considera la Sala que, con independencia de la denominación que se le otorgue, el ingreso regulado en la disposición adicional cuadragésima octava de la Ley 2/2004 tiene naturaleza tributaria, lo que implica que tanto su creación ex novo, como la determinación de sus elementos esenciales o configuradores, debe efectuarse por ley, pero no la de presupuestos generales del Estado, so pena de incurrir en la prohibición prevista en el art. 134.7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desdice la anterior conclusión, a juicio de la Sala, ninguna de las razones esgrimidas por la Administración demandada para negar la naturaleza tributaria del controvertido ingreso, por los siguiente motivos: 1º) Porque no puede calificarse como un “descuento sobre el volumen de ventas” o rappel sobre la facturación de las empresas proveedoras de medicamentos al Servicio Nacional de Salud, dado el carácter voluntario de esta figura —propia de la contratación privada—, que no concurre en relación con el ingreso controvertido, pues todos los fabricantes e importadores de medicamentos, sustancias medicinales y productos sanitarios que se dispensen a través de receta oficial del Sistema Nacional de Salud vienen obligados a efectuarlo y no pueden convenir con la Administración ni su aplicación ni su importe. 2º) Porque el “descuento” no se aplica a los proveedores, sino a los “fabricantes e importadores”, pudiendo reducirse su importe en función de la valoración de la compañía en el marco de la acción PROFARMA, lo que no guarda ninguna relación con el mecanismo de los rappels o “descuentos sobre el volumen de ventas”. 3º) Porque no se trata de una medida que pueda considerarse encuadrada en la potestad estatal de regulación de los precios de los medicamentos, puesto que no se justifica en qué medida su aplicación afecta a la fijación del precio del medicamento, en los términos en que dicha potestad aparece regulada en el art. 1 de la Ley 25/1990, del medicamento (precepto que establece la forma de fijación del precio inicial). 4º) Porque no es cierto que para determinar la cuantía del ingreso “se consideren los precios de venta con IVA”, pues la disposición adicional novena parte del precio de venta del laboratorio, esto es, del precio sin incluir el impuesto sobre el valor añadido (IVA). 5º) Porque el hecho de que solo se aplique a los fabricantes o importadores cuyos productos se dispensen mediante receta oficial con cargo al Sistema Nacional de Salud y no a todos los fabricantes o importadores de medicamentos, no le hace perder su condición de tributo, pues una característica común a todos los tributos es la de que solo se aplican a aquellos que realizan un determinado hecho imponible, sin que ello afecte al carácter de generalidad o a la obligatoriedad del mismo. 6º) Porque no es cierto que todas las personas o entidades afectadas por esta disposición puedan elegir voluntariamente dispensar sus productos a través del Sistema Nacional de Salud, habida cuenta que el art. 3 de la Ley del medicamento impone a los laboratorios e importadores (entre otras entidades y estructuras sanitarias) tanto la obligación de suministrar los medicamentos que se les soliciten (en las condiciones legal y reglamentariamente establecidas), como la continuidad en la prestación del servicio de suministro. 7º) Porque el ingreso controvertido tiene una naturaleza diferente a la de los márgenes comerciales resultantes de la dispensación de medicamentos regulados en el Real Decreto 165/1997 y en el Real Decreto-ley 5/2000, pues mientras en estos el margen comercial de venta se establece sobre el precio de venta al público incrementado en el impuesto sobre el valor añadido (operando como una deducción sobre la facturación mensual de cada oficina de farmacia por recetas de especialidades farmacéuticas dispensadas con cargo a fondos de la Seguridad Social o a fondos estatales afectos a la sanidad), en el ingreso por descuento sobre el volumen de ventas se establece sobre el precio de venta de laboratorio, sin incluir el IVA (operando como un ingreso cuatrimestral sobre las ventas, posteriormente regularizado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precisando, de un lado, que sobre esa misma disposición adicional cuadragésima octava de la Ley 2/2004, de 27 de diciembre, de presupuestos generales del Estado para 2005, pende un recurso de inconstitucionalidad (núm. 1955-2005); y, de otro, que aun cuando la Ley 29/2006, de 26 de julio, de garantías y uso racional de los medicamentos y productos sanitarios, ha derogado la Ley 25/1990, de 20 de diciembre, del medicamento, estableciendo en su lugar —en su disposición adicional sexta, bajo la rúbrica “Aportaciones por volumen de ventas al Sistema Nacional de Salud”— un ingreso análogo al cuestionado, ello no afecta al objeto de la presente cuestión de inconstitucionalidad, puesto que la disposición controvertida resulta aplicable en el proceso contencioso-administrativo del que deriva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febrero de 2010, el Pleno, a propuesta de la Sección Segunda de este Tribunal, acordó admitir a trámite la presente cuestión de inconstitucionalidad y, de conformidad con lo dispuesto en el art. 10.1 c) LOTC, deferir su conocimiento a la Sala Primera, a la que por turno objetivo le correspondía. Asimismo, acordaba dar traslado de las actuaciones recibidas, de conformidad con el art. 37.2 LOTC, al Congreso de los Diputados y al Senado, por conducto de sus Presidentes, y al Gobierno, al objeto de que en el plazo de quince días, pudieran personarse en el proceso y formular las alegaciones que estimasen convenientes. En la misma resolución se acordó publicar la incoación de la cuestión en el “Boletín Oficial del Estado” (BOE), lo que se llevó a efecto en el “BOE” núm. 63 de 13 de marzo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 este Tribunal el día 12 de marzo de 2010, el Presidente del Congreso de los Diputados comunicó la decisión de la Mesa de la Cámara de personarse en el procedimiento, ofreciendo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16 de marzo de 2010, la Procuradora doña María Luisa Sánchez Quero, en nombre y representación de la entidad mercantil Roche Farma, S.A., bajo la dirección de la letrada doña Abigail Blanco Vázquez, solicitó de este Tribunal que se la tuviera por personada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de este Tribunal el día 17 de marzo de 2010, el Presidente del Senado comunicó a este Tribunal el acuerdo de la Mesa de la Cámara de darla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17 de marzo de 2010, el Procurador don Francisco Velasco Muñoz-Cuellar, en nombre y representación de las entidades mercantiles Arbora &amp; Ausonia, S.L., Coloplast Productos Médicos, S.A., Laboratorios Hartmann, S.A., Smith and Nephew, S.A., Textil Planas Olivera, S.A., Braun Medical, S.A., Mölnlycke Health Care, S.L., ID Médica España, S.A., Astra Tech, S.A., Covidien Spain, S.L., Pedro Homs, S.L., Smith Medical España, S.R.L., Algodones del Bages, S.A., y Palex, S.A., y con la asistencia del Letrado don Alberto Raventós Soler, suplicó se le tuviera por comparecido y parte interesada en el procedimiento, pues aun cuando no eran parte en el proceso contencioso-administrativo núm. 385-2007 seguido ante la Sección Cuarta de la Audiencia Nacional en el que se promovido la presente cuestión de inconstitucionalidad, si lo eran en el recurso núm. 497-2008 seguido ante la Sección Octava de la Sala de lo Contencioso-Administrativo del Tribunal Superior de Justicia de Madrid, en el que se planteaba idéntica pretensión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Sala Primera con fecha de 18 de marzo de 2010 se acordó tener por personada a la Procuradora doña María Luisa Sánchez Quero, en nombre y representación de Roche Farma, S.A., con concesión de un plazo de quince días para que formulase las alegaciones que estimase convenientes, conforme establece el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26 de marzo de 2010 presentó un escrito en el Registro de este Tribunal el Abogado del Estado, en la representación que ostenta, solicitando se le tuviese por personado y suplicando se desestimase la cuestión planteada. Razona el Abogado del Estado en este sentido que el descuento regulado por la disposición adicional controvertida no es un tributo y, por tanto, no le es de aplicación la prohibición prevista en el apartado 7 del art. 134 CE en que se restringe el contenido de la Ley de presupuestos exclusivamente con relación a los tributos, pero sin que dicha restricción alcance a otras prestaciones patrimoniales coactivas que carezcan de naturaleza tributaria. Precisa a este respecto que aunque todas las deudas tributarias son prestaciones patrimoniales de carácter público, no todas las prestaciones patrimoniales (coactivas) tienen naturaleza tributaria (con cita de la STC 182/1997,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una serie de consideraciones sobre la jurisprudencia constitucional relativa al concepto de tributo y de impuesto, y a la necesaria concurrencia del principio de capacidad económica, así como al carácter coactivo de las prestaciones patrimoniales, el Abogado del Estado pasa a examinar el precepto cuestionado, señalando en primer lugar que, aun siendo cierto que existe para las empresas farmacéuticas (laboratorios e importadores) una obligación de suministro de medicamentos o productos sanitarios al Sistema Nacional de Salud, por el significado que tienen para la salud humana como bien constitucionalmente protegido (arts. 15 y 43, ambos de la Constitución), esa obligación de suministro en nada elimina ni empaña la voluntariedad del contrato de suministro de medicamentos con hospitales o con oficinas de farmacia.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 su juicio, tampoco estaríamos en presencia de un bien, servicio o actividad administrativa objetivamente indispensable para satisfacer las necesidades básicas de la vida personal o social de los particulares, pues el descuento controvertido nada tiene que ver con una necesidad básica de los fabricantes o importadores, sino exclusivamente con los ingresos que estos obtienen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a su juicio, los descuentos por volumen de ventas no se hallarían ligados a la capacidad económica de los proveedores, pues no actuarían sobre sus ventas o beneficios totales, sino sólo sobre la partida correspondiente a las dispensadas con cargo a los fondos del Estado, poniendo de manifiesto que no se trataría de un tributo, sino de una manera de regular los precios. Pero es que, además, carecerían del carácter general propio de todo tributo, pues no afectarían a todos los fabricantes o importadores de medicamentos o sustancias medicinales, sino sólo a aquellos que dispensasen recetas con cargo al Sistema Nacional de Salud. Y también les faltaría, a su parecer, la característica de obligatoriedad que concurre en los tributos pues los descuentos no son exigidos a todas las personas y entidades, sino sólo y exclusivamente a aquellas que voluntariamente decidiesen dispensar sus productos a través del Sistema Nacional de Salud. En fin, tampoco podría entenderse que este descuento constituiría una tasa al faltarle uno de sus elementos esenciales como es la existencia de un servicio administrativo, lo que a su vez determinaría la inexistencia de una conexión con el coste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el Abogado del Estado, se estaría ante un rappel, es decir, ante una medida de regulación de precios industriales (precios de venta de laboratorio), cuya única peculiaridad sería la de haber sido establecida por la Ley de presupuestos respecto de aquellos fabricantes e importadores que voluntariamente suministran medicamentos y productos sanitarios al Sistema Nacional de Salud, decayendo así la tesis del órgano judicial que promueve la cuestión, conforme a la cual se trataría de un tributo parafiscal. Por tanto, un descuento sobre un ingreso a favor de un empresario (fabricador o importador) como consecuencia de la adquisición de medicamentos, sustancias y productos dispensados mediante receta oficial del Sistema Nacional de Salud, nada tiene que ver con la configuración legislativa de un hecho imponible basado en un índice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31 de marzo de 2010 presentó su escrito de alegaciones el Fiscal General del Estado, suplicando la desestimación de la presente cuestión de inconstitucionalidad. Tras concretar los antecedentes de hecho en el planteamiento de la misma, y destacar la evolución de la disposición adicional cuestionada, sistematizar la doctrina constitucional relativa al concepto de prestación patrimonial de carácter público (con cita de las SSTC 185/1995 y 182/1997), concretar el alcance de las obligaciones previstas en la normativa del medicamento para la autorización y registro de especialidades farmacéuticas de cara a su comercialización, así como citar la doctrina judicial existente sobre el descuento controvertido (concretamente, del Tribunal Superior de Justicia de Madrid, de la Audiencia Nacional y del Tribunal Supremo) y los preceptos de la Ley 58/2003, de 17 de diciembre, general tributaria, relativos al concepto de prestación patrimonial y de tributo, sostiene el Fiscal General del Estado que el descuento cuestionado reviste la naturaleza de una prestación patrimonial de carácter público, que se satisface a un ente público, pero no para aportar recursos, sino para disminuir el gasto. A su juicio, aunque existiese un beneficio o contraprestación individualizable para el fabricante importador (como es que los medicamentos incluso en el Sistema Nacional de Salud se integran en un circuito privilegiado de comercialización), duda que la norma haya establecido el descuento en función de la capacidad económica de cada cual, al vincularlo con el coste del producto y su margen de beneficio, lo que acentúa su carácter extratributario.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el Fiscal General del Estado, la disposición adicional cuestionada estaría contemplando una prestación pública de carácter patrimonial, que aunque de imposición unilateral, carecería de naturaleza tributaria, al no reunir en su regulación las características de las figuras tributarias, correspondiendo su naturaleza a la de una medida de intervención en el precio de los medicamentos, que se enmarcaría dentro de la política de contención del gasto público del Gobierno y que se erigiría en un instrumento de su dirección y orientación política. De esta manera, al carecer de naturaleza tributaria, cumpliría con los requisitos de reserva de ley de las prestaciones patrimoniales coactivas, pues se ha establecido por Ley de presupuestos, no siéndole de aplicación, en consecuencia, la prohibición prevista en el apartado 7 del art. 134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16 de abril de 2010 presentó su escrito de alegaciones la Procuradora doña María Luisa Sánchez Quero, en nombre y representación de la entidad mercantil Roche Farma, S.A., suplicando se dictase Sentencia por la que se declarase la inconstitucionalidad de la disposición adicional cuadragésima octava de la Ley 2/2004, de 27 de diciembre. Para la representación procesal de esta entidad, atendiendo a la definición de tributo que hace el art. 2 de la Ley 58/2003, de 17 de diciembre, general tributaria, el ingreso que nos ocupa tendría naturaleza tributaria, pues nos encontraríamos ante un ingreso público consistente en una prestación pecuniaria exigida por una Administración pública (el Ministerio de Sanidad y Consumo), como consecuencia de la realización de un supuesto de hecho (la fabricación e importación de medicamentos, sustancias medicinales y cualesquiera productos sanitarios que se dispensen a través de receta oficial del Sistema Nacional de Salud), al que la Ley vincula el deber de contribuir, con el fin primordial de obtener los ingresos necesarios para el sostenimiento de los gastos públicos. Por tanto, la disposición adicional cuestionada sería inconstitucional por contravenir el art. 134.7 CE, al establecer una figura tributaria nueva (tal y como así lo ha señalado también tanto la Fiscalía de la Audiencia Nacional en su dictamen de 7 de abril de 2009 como el propio Auto de la Audiencia Nacional de 15 de junio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la Sala Primera de fecha 27 de abril de 2010 se acordó no tener por personado y parte al Procurador don Francisco Velasco Muñoz-Cuellar, en nombre y representación de las entidades Arbora &amp; Ausonia, S.L., Coloplast Productos Médicos, S.A., Laboratorios Hartmann, S.A., Smith and Nephew, S.A., Textil Planas Olivera, S.A., Braun Medical, S.A., Mölnlycke Health Care, S.L., ID Médica España, S.A., Astra Tech, S.A., Covidien Spain, S.L., Pedro Homs, S.L., Smith Medical España, S.R.L., Algodones del Bages, S.A., y Palex, S.A., al no ser parte en el procedimiento ordinario núm. 585-2007 ante la Sección Cuarta de la Sala de lo Contencioso-Administrativo de la Audiencia Nacional, del que dimana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9 de abril de 2015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objeto de la presente cuestión de inconstitucionalidad lo constituye la disposición adicional cuadragésima octava de la Ley 2/2004, de 27 de diciembre, de presupuestos generales del Estado para 2005, de modificación de la Ley 25/1990, de 20 de diciembre, del medicamento, por su posible contradicción con el art. 134.7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dar respuesta a la concreta cuestión planteada por el órgano judicial, conviene efectuar una precisión previa. La disposición adicional controvertida añadía una disposición adicional novena a la Ley 25/1990, de 20 de diciembre, del medicamento, Esta Ley ha sido posteriormente sustituida y derogada por la Ley 29/2006, de 26 de julio, de garantías y uso racional de los medicamentos. Esa circunstancia, sin embargo, no hace decaer el objeto del presente proceso constitucional en la medida que esa derogación no provoca que la norma cuestionada deje de ser aplicable en el proceso a quo, dependiendo aún de su validez la decisión a adoptar en el mismo [por todas, STC 93/2014, de 29 de mayo, FJ 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dicho, la disposición adicional cuadragésima octava de la Ley 2/2004, de 27 de diciembre, de presupuestos generales del Estado para 2005, introduce una nueva disposición adicional novena en la Ley 25/1990, de 20 de diciembre, del medicamento, que, bajo el título “Ingresos de los empresarios, grupos empresariales, fabricantes e importadores de medicamentos y sustancias medicinales por descuentos por volumen de ventas al Sistema Nacional de Salud”, estableció la obligación para las personas físicas, los grupos empresariales y cualesquiera otras personas jurídicas que se dedicasen a la fabricación o importación de medicamentos, sustancias medicinales y cualesquiera otros productos sanitarios que se dispensasen en territorio nacional a través de receta oficial del Sistema Nacional de Salud, de ingresar con carácter cuatrimestral, entre el 1,5 (para ventas de hasta 3 millones de euros) hasta el 5 por 100 (para ventas superiores a 300 millones de euros), de su volumen cuatrimestral de ventas. La cantidad resultante se corregía mediante la aplicación de un porcentaje (de entre el 0 y el 25 por 100) en función de la valoración de las compañías en el marco de la acción PROFARMA (programa que tenía como objetivo aumentar la competitividad de la industria farmacéutica en España, a través de la modernización del sector y la potenciación de aquellas actividades que aportasen un mayor valor añadido). Además, se obligaba a ingresar de forma anticipada, en función de las ventas del ejercicio inmediatamente anterior, la cantidad que el Ministerio de Sanidad y Consumo comunicase al fabricante o importador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disposición adicional novena de la Ley 25/1990, de 30 de diciembre, fue sustituida posteriormente por la disposición adicional sexta de la Ley 29/2006, de 26 de julio, de garantías y uso racional de los medicamentos, la cual, esta vez bajo el título de “Aportaciones por volumen de ventas al Sistema Nacional de Salud”, situó el porcentaje aplicable al volumen cuatrimestral de ventas entre el 1,5 (para ventas de hasta 3 millones de euros) y el 2 por 100 (para ventas superiores a 3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que promueve la cuestión de inconstitucionalidad, con la disposición adicional cuestionada se ha establecido unilateralmente una obligación de pago por parte del poder público, sin el concurso de la voluntad del sujeto llamado a satisfacerla, lo que incide en la prohibición constitucional de establecer tributos en la Ley de presupuestos (art. 134.7 CE). Tanto para el Abogado del Estado como para el Fiscal General del Estado, sin embargo, el descuento controvertido, aunque pueda revestir la naturaleza de una prestación patrimonial de carácter público, carecería de naturaleza tributaria por tratarse de un rappel sobre las ventas que se encuadraría dentro de la potestad estatal de regulación de los precios de los medicamentos, lo que le impediría incidir en la prohibición prevista que el art. 134.7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que se somete a nuestra consideración es idéntica a la planteada en el recurso de inconstitucionalidad núm. 1955-2005, entre otros preceptos, sobre la propia disposición adicional cuadragésima octava de la Ley 2/2004, de 27 de diciembre, de presupuestos generales del Estado para 2005, que ha sido recientemente desestimado por la STC 44/2015, de 5 de marzo, al considerar este Tribunal que aun cuando la disposición cuestionada introdujo en el ordenamiento, ex novo, una prestación patrimonial de carácter público, en la medida que no tenía naturaleza tributaria, no podía considerarse que hubiese transgredido la prohibición prevista en el apartado 7 del art. 134 CE (FJ 5). Las razones que llevaron a este Tribunal a alcanzar esa conclusión, sucintamente expuestas,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la Constitución autoriza el establecimiento de prestaciones patrimoniales de carácter público “con arreglo a la ley” (art. 31.3 CE), cuando se trata de prestaciones patrimoniales de naturaleza tributaria condiciona los instrumentos normativos a través de los que se puede cumplir con aquella previsión, pues no sólo limita el uso del decreto-ley a aquellos supuestos en los que no se afecte a los deberes de los ciudadanos regulados en el título I (art. 86.1 CE) y, concretamente, al deber de todos de contribuir al sostenimiento de los gastos públicos (art. 31.1 CE), sino que impide la utilización de la Ley de presupuestos como instrumento para “crear tributos” (art. 134.7 CE) y excluye la materia tributaria de la iniciativa popular (art. 87.3 CE) [STC 44/2015, de 5 de marzo, FJ 5 d); y en el mismo sentido, STC 83/2014, de 29 de mayo, FJ 3]. En consecuencia, la reserva de ley tributaria (arts. 31.3 y 133.1, ambos de la Constitución), en lo que ahora interesa, se ve reforzada por la prohibición atinente a la Ley de presupuestos de no crear o modificar tributos (art. 134.7 CE), que deriva no sólo del condicionamiento a que somete el art. 134 CE a los presupuestos generales como vehículo de dirección y orientación de la política económica del Gobierno y, por tanto, con una función específica y constitucionalmente definida, sino también de las restricciones impuestas a su tramitación parlamentaria (fundamentalmente en los trámites de enmienda y debate) por los Reglamentos de las Cámaras [STC 44/2015, de 5 de marzo,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medida que no puede efectuarse una lectura expansiva de los límites que la Constitución impone a la Ley de presupuestos, cuando el art. 134.7 CE prohíbe a la Ley de presupuestos “crear tributos” está poniendo en conexión esta limitación con el deber de contribuir al que hace referencia el art. 31.1 CE y con la potestad originaria del Estado para crear tributos por ley del art. 133.1 CE, sin que dicha prohibición pueda extenderse a cualquier “prestación patrimonial de carácter público” a que se refiere el art. 31.3 CE. Dicho de otra manera, cuando el Constituyente consideró inhábil el instrumento presupuestario para introducir nuevos “tributos” en el ordenamiento o para modificar los existentes (sin previa habilitación legal al respecto), era consciente de la existencia de una reserva de ley en materia de “prestaciones patrimoniales de carácter público” (art. 31.3 CE), y, sin embargo, no quiso extender aquella limitación a toda clase de prestación patrimonial de carácter público, sino únicamente a las de naturaleza tributaria, quedando legitimadas las restantes prestaciones patrimoniales no tributarias para formar parte del contenido eventual de la Ley de presupuestos, claro está, siempre y cuando guarden la necesaria conexión económica —relación directa con los ingresos o gastos del Estado o vehículo director de la política económica del Gobierno— o presupuestaria —para una mayor inteligencia o mejor ejecución del presupuesto— [STC 44/2015, de 5 de marzo, FJ 5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independencia del nomen iuris (descuentos por volumen de ventas o rappels sobre ventas), las prestaciones patrimoniales de carácter público tienen cada una de ellas la naturaleza propia y específica que les corresponda, de acuerdo con su presupuesto de hecho y en función de su configuración y estructura jurídica. De esta manera, son prestaciones de esta naturaleza las impuestas coactivamente, esto es, las derivadas de una obligación de pago establecida unilateralmente por el poder público sin el concurso de la voluntad del sujeto llamado a satisfacerla, siempre que, al mismo tiempo, la prestación, con independencia de la condición pública o privada de quien la percibe, tenga una inequívoca finalidad de interés público [STC 44/2015, de 5 de marzo, FJ 5 d) y en el mismo sentido, STC 83/2014, de 29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cuándo puede considerarse que una prestación patrimonial resulta coactivamente impuesta, es necesario concretar, en primer lugar, si el supuesto de hecho que da lugar a la obligación ha sido o no realizado de forma libre y espontánea por el sujeto obligado, y, en segundo lugar, si la libertad o la espontaneidad exigida en la realización del supuesto de hecho y en la decisión de obligarse es real y efectiva. Eso sí, no toda prestación impuesta tiene que tener necesariamente naturaleza tributaria y ser una expresión concreta del deber de contribuir del art. 31.1 CE, como sucede cuando con ella no se persigue derechamente buscar una nueva forma de allegar medios económicos con los que financiar el gasto público, aunque tenga como efecto económico indirecto el de servir también a dicha financiación. Por tanto, para concretar cuándo una prestación patrimonial impuesta tiene a su vez naturaleza tributaria habrá que comprobar si se satisface, directa o indirectamente, a los entes públicos con la finalidad de contribuir al sostenimiento de los gastos públicos, sometiendo a gravamen un presupuesto de hecho o hecho imponible revelador de capacidad económica [STC 44/2015, de 5 de marzo, FJ 5.d); y en el mismo sentido, STC 83/2014, de 29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“[i]ngresos de los de los empresarios, grupos empresariales, fabricantes e importadores de medicamentos y sustancias medicinales por descuentos por volumen de ventas al Sistema Nacional de Salud” previstos en la disposición adicional cuadragésima octava de la Ley 2/2004, de 27 de diciembre, de presupuestos generales del Estado para 2005, de acuerdo con su supuesto de hecho y en función de la configuración y estructura jurídica que le ha dado el legislador, tienen la naturaleza de una prestación patrimonial de carácter público. En efecto, consisten en una prestación pecuniaria (aplicada a la facturación al Sistema Nacional de Salud), impuesta coactiva y unilateralmente por el poder público (las Cortes Generales), que se satisface a un ente público (el Ministerio de Sanidad y Consumo), sin la concurrencia de la voluntad del sujeto obligado a su pago (los empresarios, grupos empresariales, fabricantes e importadores de medicamentos y sustancias medicinales), donde el supuesto de hecho que da lugar al mismo (la dispensación de medicamentos a cargo al Sistema Nacional de Salud) no se realiza de forma libre y espontánea por el sujeto obligado (pues tanto el art. 3.1 de la Ley 25/1990, de 20 de diciembre, del medicamento, como el art. 2.1 de la vigente Ley 29/2006, de 26 de julio, de garantías y uso racional de los medicamentos y productos sanitarios, obligan a dispensar los medicamentos) y en el que la prestación debida tiene una inequívoca finalidad de interés público (la contención urgente del gasto público farmacéutico) [STC 44/2015, de 5 de marzo, FJ 5 e); y sentido similar, STC 83/2014, de 29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Aunque el descuento previsto en la disposición adicional controvertida tiene la naturaleza de una prestación impuesta, sin embargo, carece de naturaleza tributaria, pues su finalidad principal, como sostiene el Abogado del Estado, no es la de establecer un tributo, esto es, una nueva forma de ingreso público con la que coadyuvar a la financiación de gasto del gasto público, sino que pretende efectuar una asignación de los recursos públicos que responda a los criterios de eficiencia y de economía (art. 31.2 CE). En efecto, con la deducción controvertida, el Estado no ha recurrido a su poder tributario (art. 133.1 CE) para establecer una nueva forma de contribución al sostenimiento de los gastos públicos (art. 31.1 CE), sino que ha puesto su poder de gasto al servicio de una concreta política farmacéutica, no sólo con la finalidad de garantizar un uso racional del medicamento (art. 43 CE), sino con el objetivo de llevar a cabo una adecuada y razonable distribución de unos recursos públicos escasos frente a necesidades de protección siempre crecientes (art. 31.2 CE). De esta manera, los sujetos obligados a soportar la prestación impuesta no son llamados a su cumplimiento como contribuyentes por la realización de un hecho revelador de capacidad económica, esto es, en el ámbito de una nueva relación tributaria, en la que el Estado se erija en el sujeto activo, y los empresarios, grupos empresariales, fabricantes e importadores de medicamentos y sustancias medicinales, en el sujeto pasivo, sino que lo son en el seno de la relación económica de la que surgen tanto derechos como cargas que asumir.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que olvidar que las personas físicas, jurídicas y grupos empresariales, que sean fabricantes o importadores de medicamentos, sustancias medicinales o cualesquiera otros productos, son un agente imprescindible en la realización de la asistencia farmacéutica que sirve a la garantía de la protección de la salud pública (arts. 43.2 y 51.1, CE). Por esta razón, el Estado, en el ejercicio de sus competencias exclusivas sobre productos farmacéuticos (art. 149.1.16 CE), no sólo puede obligarles (como a las oficinas de farmacia que tiene la condición de establecimientos sanitarios privados de interés público) a abastecer, suministrar y dispensar, a través del Sistema Nacional de Salud, los medicamentos, sustancias medicinales y productos necesarios para proteger la salud pública, en general, y la atención primaria a la salud de los ciudadanos, en particular, sino que puede actuar tanto sobre el precio de los medicamentos como sobre el coste que para aquel Sistema nacional tienen los medicamentos, para imponer, incluso, un descuento (rappel) en función del volumen de ventas, por el consiguiente interés público que subyace a la prestación farmacéutica.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la determinación de un descuento en función del volumen de ventas de especialidades farmacéuticas al Sistema Nacional de Salud, “por mucho que con la misma se consiga como efecto económico indirecto el de la financiación del gasto público, no puede considerarse que afecte al deber de “todos” de contribuir al sostenimiento de los gastos públicos (art. 31.1 CE)” [STC 44/2015, de 5 de marzo, FJ 5.d); y en el mismo sentido, STC 83/2014, de 29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los “[i]ngresos de los de los empresarios, grupos empresariales, fabricantes e importadores de medicamentos y sustancias medicinales por descuentos por volumen de ventas al Sistema Nacional de Salud” previstos en la disposición adicional cuadragésima octava de la Ley 2/2004, de 27 de diciembre, de presupuestos generales del Estado para 2005, tienen la naturaleza de una prestación patrimonial coactivamente impuesta y, por tal motivo, sometida en su establecimiento al principio de reserva de ley (art. 31.3 CE). Sin embargo, aun siendo una prestación patrimonial impuesta, carece de naturaleza tributaria, pues no responde al establecimiento de un nuevo instrumento de contribución al sostenimiento de los gastos públicos por la realización de un hecho revelador de capacidad económica, sino que es consecuencia del ejercicio de una actividad que forma parte de un sector regulado por el Estado, tanto en la fijación de los precios de las especialidades farmacéuticas, como en la determinación de los márgenes comerciales de las oficinas de farmacia que las dispensan [STC 44/2015, de 5 de marzo, FJ 5 e); y en el mismo sentido, STC 83/2014, de 29 de mayo, FJ 3]. Su inclusión en el contenido eventual de la Ley de presupuestos generales del Estado no sólo se legítima por tratarse de un instrumento idóneo al servicio de una política gubernamental de reducción de gasto público farmacéutico, sino también por guardar una relación directa con los gastos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motivos expuestos debe rechazarse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