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Santiago Martínez-Vares García, don Juan Antonio Xiol Ríos,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número 5157-2012, promovido por doña María de los Ángeles Jordá Escola, representada por el Procurador de los Tribunales don Jorge Deleito García y asistida por la Abogada doña Laura Bujons Sampere, contra el Auto de la Sección Primera de la Sala de lo Contencioso-Administrativo del Tribunal Supremo de 10 de noviembre de 2011, que declaró la inadmisión del recurso de casación núm. 2933-2010. Ha comparecido el Abogado del Estado, en la representación que ostenta, y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septiembre de 2012, don Jorge Deleito García, Procurador de los Tribunales, actuando en nombre y representación de doña María de los Ángeles Jordá Escola, interpuso recurso de amparo contra la resolución judicial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la resolución del Tribunal Económico-Administrativo Central de 21 de diciembre de 2006, por la que se desestima la reclamación económico-administrativa formulada frente a la resolución del Tribunal Económico-Administrativo Regional de Cataluña de fecha 9 de octubre de 2003, recaída en el expediente núm. 08-10593-2000, 10594-2000 y 10595-2000 (acumulados), relativa al impuesto sobre la renta de las personas físicas correspondiente al ejercicio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seno del procedimiento ordinario núm. 439-2007, dictó Sentencia de 15 de abril de 2010 la Sección Segunda de la Sala de lo Contencioso-Administrativo de la Audiencia Nacional, confirmatoria de la resolución del Tribunal Económico-Administrativo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30 de abril de 2010, la representación procesal de la demandante de amparo registró escrito de preparación de recurso de casación contra la Sentencia referida, anunciándolo al amparo del art. 88.1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3 de mayo de 2011, la Sala de lo Contencioso-Administrativo del Tribunal Supremo acordó conceder a las partes del recurso de casación núm. 2933-2010 un plazo de diez días para que formularan alegaciones acerca de la posible concurrencia de la siguiente causa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haber citado en el escrito de preparación del recurso de casación las infracciones normativas o jurisprudenciales que la recurrente desarrollará en el escrito de interposición [artículos 88.1; 89.1 y 93.2 a) LRJCA y auto de la Sala de 10 de febrero de 2011, recurso de casación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presentó alegaciones en dicho trámite mediante escrito de fecha 31 de mayo de 2011, en el que solicitaba la admisión del recurso por haber cumplido los requisitos exigidos por la Sala de forma estable y consolidada para los escritos de preparación de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10 de noviembre de 2011, la Sala Tercera del Tribunal Supremo (Sección Primera) declaró la inadmisión del recurso de casación. La resolución se remite al ATS de 10 de febrero de 2011, dictado en el recurso de casación núm. 2927-2010, a la vista de cuya doctrina concluye que, al no contener el escrito de preparación del recurso la cita de las infracciones normativas o jurisprudenciales denunciadas, procedía la inadmisión del mismo por su defectuosa preparación. En la referida resolución se argumenta que: (i) la exigencia de cita de las infracciones normativas o jurisprudenciales que se estiman infringidas responde a una concepción de la fase de preparación como trámite con sustantividad propia, que no constituye un mero formalismo carente de trascendencia y que persigue garantizar que la parte recurrida cuente desde un principio con la información necesaria para adoptar la posición procesal que estime pertinente; (ii) el cambio de criterio interpretativo operado por el Auto de 10 de febrero de 2011, dictado en el recurso de casación antes citado, culmina una evolución jurisprudencial dirigida a hacer efectiva esa concepción del trámite de preparación del recurso, lo que es perfectamente compatible con el carácter dinámico y adaptativo de la jurisprudencia, que ha de ajustarse a las nuevas realidades en las que se desenvuelven las relaciones jurídicas; iii) lo que prohíbe el principio de igualdad en la aplicación de la Ley es el cambio irreflexivo o arbitrario, no así el cambio razonado, razonable y con vocación de futuro, esto es, destinado a ser mantenido con cierta continuidad con fundamento en razones jurídicas objetivas que excluyan todo significado de resolución ad personam; (iv) la aplicación del nuevo criterio a todas las situaciones jurídicas pendientes de resolver, con independencia de la fecha de presentación del escrito de preparación, obedece al “mínimo efecto retroactivo” al que se ha referido el Tribunal Constitucional en el examen de los cambios jurisprudenciales; v) las posibles restricciones a la recurribilidad de determinadas resoluciones no son incompatibles con el derecho a la tutela judicial efectiva del art. 24.1 CE, ni con el principio de seguridad jurídica, siempre que se articulen por ley, siendo doctrina reiterada de la Sala Tercera que no se quebranta dicho derecho porque un proceso contencioso-administrativo quede resuelto en única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Auto de inadmisión de 10 de noviembre de 2011 fue promovido incidente de nulidad de actuaciones, invocándose el derecho a la tutela judicial efectiva en su vertiente de acceso a los recursos (art. 24.1 CE) y el principio de igualdad ante la ley (art. 14 CE), siendo inadmitido dicho remedio procesal por providencia de 25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la vulneración del derecho a la igualdad en la aplicación judicial de la ley (art 14 CE) y del derecho a la tutela judicial efectiva sin indefensión, en su vertiente del acceso a los recursos (art. 24.1 CE). En síntesis, tales vulneraciones se asientan en los siguientes argumentos que: i) del examen comparativo del escrito de preparación y el de formalización del recurso podía concluirse el cumplimiento de las exigencias impuestas tanto por la Ley jurisdiccional y por la jurisprudencia entonces existente; ii) se proporcionaba a la parte recurrida información acerca de los motivos en que se fundamentaría el recurso de casación, puesto que se hizo una referencia sucinta a los mismos, como venía entonces exigiéndose; iii) con anterioridad a la primera fecha de publicación de la nueva doctrina del Tribunal Supremo ya había sido preparado y formalizado el recurso de casación en este caso; iv) en el momento de preparar e interponer el recurso de casación la jurisprudencia sobre la cuestión analizada no era unánime ni clara, por lo que la inadmisión repercutía en la seguridad jurídica y en la tutela judicial efectiva de quien obraba con la certeza de que sus actuaciones cumplían con la legislación y doctrina jurisprudencial vigentes; v) la aplicación de la doctrina emanada del ATS de 10 de febrero de 2011 requería algún tipo de periodo transitorio, pues lo contrario implicaba la exigencia de requisitos sobrevenidos e inesperados, con centenares de inadmisiones como la que se impugna, contraviniéndose la exigencia de que los cambios jurisprudenciales tengan vocación de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desde la perspectiva del art. 14 CE se alega que: i) la aplicación lógica del nuevo criterio establecido por el Tribunal Supremo debería limitarse a los recursos de casación preparados con posterioridad al mismo o, como mínimo, a los interpuestos con posterioridad a esa fecha, y no, como ocurre en el presente caso, a los que tanto en la preparación como en la interposición se produjeron con anterioridad; ii) de otro modo, se da una situación menos favorable en aplicación de una misma norma ante supuestos idénticos, como serían los casos anteriores a la existencia de aquella nueva doctrina en los que se admitieron los escritos de preparación que contenían sucintas referencias a los motivos que iban a desarrollarse en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Presentada la demanda de amparo, la Sala Segunda de este Tribunal, por Auto de 7 de noviembre de 2013, acordó declarar justificada la abstención para el conocimiento del presente recurso de amparo formulada por el Magistrado don Juan José González Rivas, quedando definitivamente apartado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noviembre de 2013, la Sala Segunda acordó admitir a trámite la demanda de amparo. Asimismo, en aplicación de lo dispuesto en el art. 51 de la Ley Orgánica del Tribunal Constitucional (LOTC), acordó dirigir atenta comunicación al Tribunal Supremo y a la Audiencia Nacional a fin de que, en el plazo de diez días, remitieran, respectivamente, certificación o fotocopia adverada de las actuaciones correspondientes al recurso de casación núm. 2933-2010 y al procedimiento ordinario núm. 439-2007, debiendo previamente emplazarse para que pudieran comparecer en el recurso de amparo, en el término de diez días, a quienes hubieran sido parte en el procedimiento, excepto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fecha 16 de diciembre de 2013, se tuvieron por recibidos los testimonios de las actuaciones, remitidos por el Tribunal Supremo y por la Audiencia Nacional, así como por personado y parte al Abogado del Estado, en la representación que ostenta, como solicitó éste en escrito registrado el día 21 de noviembre de 2013. A tenor de lo dispuesto en el art.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el 20 de enero de 2014, en el que interesa que se dicte sentencia estimatoria por vulneración del art. 24.1 CE. Entiende incumplidas “las exigencias mínimas de confianza legítima de los justiciables”. A su juicio, las nuevas máximas jurisprudenciales contenidas en el ATS de 10 de febrero de 2011 se han aplicado en perjuicio de la recurrente, que había preparado la casación antes de que se pudiera conocer aquella innovadora resolución, de manera que su recurso de casación fue inadmitido en virtud de nuevas “exigencias” jurisprudenciales que razonablemente no se conocían al tiempo de su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22 de enero de 2014 se registró en este Tribunal el escrito de alegaciones de la recurrente de amparo, en el que reitera las alegaciones ya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el 6 de febrero de 2014, interesando la desestimación del recurso. A su parecer, el Auto dictado por la Sección Primera de la Sala de lo Contencioso-Administrativo del Tribunal Supremo constituye una resolución debidamente motivada, que no está incursa ni en error patente, ni en irrazonabilidad, ni en arbitrariedad. En cuanto al art. 14 CE, razona que la parte recurrente no ha aportado un válido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Segunda de este Tribunal, por Auto de 6 de noviembre de 2014, acordó declarar justificada la abstención para el conocimiento del presente recurso de amparo formulada por el Magistrado don Ricardo Enríquez Sancho, quedando definitivamente apartado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 El Pleno de este Tribunal, mediante providencia de 15 de abril de 2015, acordó, de conformidad con el art. 10.1 n) LOTC, a propuesta de la Sala Segunda,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abril de 2015,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decisión judicial de inadmitir el recurso de casación contencioso-administrativo, por no haberse citado en el escrito de preparación los concretos preceptos o la jurisprudencia que se reputan infringidos, ha vulnerado (i) el derecho a la tutela judicial efectiva (art. 24.1 CE) desde la perspectiva del derecho de acceso al recurso, a) porque se cumplían los requisitos y las exigencias impuestas en aquel momento por la ley y la jurisprudencia, y b) porque la aplicación de la doctrina emanada del ATS de 10 de febrero de 2011 requería algún tipo de periodo transitorio, pues lo contrario implicaba la exigencia de requisitos sobrevenidos e inesperados, y (ii) el derecho a la igualdad en la aplicación de la ley (art. 14 CE), porque la aplicación lógica del nuevo criterio establecido por el Tribunal Supremo debería limitarse a los recursos de casación preparados con posterioridad al mismo o, como mínimo, a los interpuestos con posterioridad a esa fecha, y no, como ocurre en el presente caso, a los anteriores, ya que de otro modo se da una situación menos favorable en aplicación de una misma norma ante supuestos idénticos —como serían los casos anteriores a la existencia de aquella nueva doctrina en los que se admitieron los escritos de preparación que contenían sucintas referencias a los motivos que iban a desarrollarse en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en la que hemos tenido la oportunidad de examinar otro supuesto de inadmisión de un recurso de casación por omitirse en el escrito de preparación la cita de las normas y la jurisprudencia que el recurrente reputa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de diciembre de 1997, caso Brualla Gómez de la Torre c. España, y de 25 de enero de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de mayo de 2000; Llopis Ruiz c. España, de 7 noviembre 2003, e Ipamark c. España, de 17 de febrero de 2004, que presentan en común el haber enjuiciado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el Auto impugnado se razona que la exigencia anteriormente indicada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24.1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la excepción que, por disposición legal, establezca el efecto exclusivamente prospectivo de la sentencia, como así se prevé en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jurisprudencial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y por lo que se refiere al derecho a la igualdad en la aplicación de la ley (art. 14 CE) y en lo que al presente caso importa, este Tribunal ha reiterado que está vedado a los órganos judiciales el cambio irreflexivo o arbitrario en la aplicación de una norma, lo cual equivale a mantener que, por el contrario, el cambio resulta legítimo cuando es razonado, razonable y con vocación de futuro, esto es, destinado a ser mantenido con cierta continuidad, con fundamento en razones jurídicas objetivas que excluyan todo significado de resolución ad personam o de ruptura ocasional en una línea que se venga manteniendo con normal uniformidad antes de la decisión divergente o se continúe con posterioridad (por todas, SSTC 105/2009, de 4 de mayo, FJ 4, y 178/2014, de 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Auto del Tribunal Supremo impugnado, lejos de ser una decisión particularizada y adoptada ad hoc por el órgano judicial para resolver ese solo caso o para aplicarlo exclusivamente a la persona del recurrente, constituye la plasmación de un criterio jurisprudencial previamente adoptado con carácter general y con vocación de permanencia para resolver todos los supuestos de las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lo argumentado en los anteriores fundamentos jurídicos,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de los Ángeles Jordá Escola.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