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20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providencia de 4 de diciembre de 2013 y Sentencia de 24 de septiembre de 2013 dictadas por la Sección Cuarta de la Sala Tercera de lo Contencioso-Administrativo del Tribunal Supremo en el recurso de casación núm. 2895-2012 interpuesto contra Sentencia de 29 de mayo de 2012 dictada por la Sección Quinta de la Sala de lo Contencioso-Administrativo del Tribunal Superior de Justicia de Cataluña en el recurso núm. 451-2009.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julio de 2015 el Magistrado don Ricardo Enríquez Sancho comunicó a los efectos oportunos que se abstenía de intervenir en el antes indicado recurso de amparo, de conformidad con el art. 80 de la Ley Orgánica del Tribunal Constitucional (LOTC), por haber formado parte de la Sección Cuarta de la Sala Tercera de lo Contencioso-Administrativo del Tribunal Supremo, que dictó la Sentencia de 24 de septiembre de 2013 en el recurso de casación 2895-2012, resolución recurrida en el presente recurso de amparo 287-2014.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 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24 de septiembre de 2013 en el recurso de casación núm. 2895-2012, resolución que ha sido impugnada en el presente recurso de amparo núm. 287-2014.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287-2014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