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24 de marzo de 2015 tuvo entrada en el Registro General de este Tribunal escrito de la Sala de lo Social del Tribunal Superior de Justicia de Castilla y León con sede en Burgos al que se acompaña, además del testimonio del procedimiento, Auto de 13 de febrero de 2015, por el que se plantea cuestión de inconstitucionalidad en relación con el art. 2.1 del Real Decreto-ley 28/2012, de 30 de noviembre, de medidas de consolidación y garantía del sistema de la Seguridad Social, por posible vulneración de los arts. 9.3 y 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cuestionado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segundo. Actualización y revalorización de 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Se deja sin efecto para el ejercicio 2012 la actualización de las pensiones en los términos previstos en el apartado 1.2 del artículo 48 del texto refundido de la Ley General de la Seguridad Social, aprobado por Real Decreto Legislativo 1/1994, de 20 de junio, y en el párrafo segundo del apartado 1 del artículo 27 del texto refundido de la Ley de Clases Pasivas del Estado, aprobado por Real Decreto legislativo 670/1987, de 30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Social núm. 1 de Burgos dictó Sentencia de 23 de octubre de 2014 estimando en parte la demanda interpuesta por una pensionista contra el Instituto Nacional de la Seguridad Social, reconociendo su derecho a que se considere como pensión del año 2012 “la señalada en el apartado segundo del relato histórico de la presente incrementada en un 2,9 por 100 y que la misma sirva de base para el incremento acordado en el año 2013” y a percibir las diferencias correspondientes al año 2012 que son la diferencia entre el incremento de 1 por 100 aplicado y el 2,9 por 100 debido.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Instituto Nacional de la Seguridad Social interpuso recurso de suplicación contra la mencionada Sentencia. Concluso el procedimiento y dentro del plazo para dictar Sentencia, el órgano judicial dictó providencia de 13 de enero de 2015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del art. 9.3 CE. El Ministerio Fiscal mostró su conformidad con el planteamiento de la cuestión. El Letrado de la Administración de la Seguridad Social sostiene que el precepto cuestionado no lesiona ni el art. 9.3 CE ni el art. 33 CE, invocando al efecto la doctrina establecida, respectivamente, en los AATC 85/2011 y 179/2011. La otra parte manifiesta su conformidad con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órgano judicial dictó el Auto de 13 de febrero de 2015 planteando la cuestión de inconstitucionalidad en relación con el art. 2.1 del Real Decreto-ley 28/2012 por posible vulneración de los arts. 9.3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se fundamenta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desarrollo del art. 50 CE se ha realizado a través del art. 48 del texto refundido de la Ley general de la Seguridad Social,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del texto refundido de la Ley general de la Seguridad Social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límite al importe de la revalorización de las pensiones contributivas se establece en el art. 49 de la Ley general de la Seguridad Social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argumenta que “si entendemos que es un derecho adquirido, y planteamos la expropiación de dicho derecho”, ha de acudirse a la Ley de expropiación forzosa. Considera que el Tribunal Constitucional define la expropiación forzosa como “una privación singular de la propiedad privada o de derechos o intereses patrimoniales legítimos acordada imperativamente por los poderes públicos por causa justificada de utilidad pública o interés social”. De la privación singular deben diferenciarse, siempre según el Auto, las medidas legales de delimitación o regulación general del contenido del derecho. No obstante, la delimitación legal del contenido de los derechos patrimoniales no puede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(y menciona las STC 227/1988, FJ 11; y 112/2006).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Sala acuerda elevar la siguiente cuestión de inconstitucionalidad: Si “[e]l artículo 2.1 del Real Decreto-ley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artículo 9.3 de la Constitución española por el que se garantiza la irretroactividad de las disposiciones restrictivas de derechos fundamentales individuales; y 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junio de 2015, la Sección Segunda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hubiese devenido notoriamente infundada (SSTC 49/2015, de 5 de marzo; 95/2015, de 14 de mayo, y 109/2015,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10 de julio de 2015. Considera que la cuestión de inconstitucionalidad es inadmisible por ser notoriamente infundada. Después de relacionar las circunstancias del caso, alude a la STC 49/2015 y añade que de sus fundamentos se desprende la plena identidad con la presente cuestión, ya que las alegaciones de los parlamentarios recurrentes apelaban a la posible violación de los arts. 9.3 y 33, además de otros preceptos, por lo que la posible duda de inconstitucionalidad ha quedado disipada por la referida STC 49/2015 y otras posteriores que han resuelto cuestiones de inconstitucionalidad, como las SSTC 95/2015, de 14 de mayo, y 109/2015, de 28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sostiene que la posible duda de constitucionalidad queda disipada por la doctrina fijada en la STC 49/2015,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37.1 de la Ley Orgánica del Tribunal Constitucional, este Tribunal puede rechazar en trámite de admisión y mediante Auto, sin otra audiencia que la del Fiscal General del Estado, la cuestión de inconstitucionalidad “cuando …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STC 49/2015, en lo que hace a la alegada vulneración del art. 33.3 CE, resolvió que, de acuerdo con la legislación vigente (art. 48.1.2 de la Ley general de la Seguridad Social: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constitucional ha sido reiterada, entre otras, en las SSTC 95/2015, de 14 de mayo, FJ 6, y 109/2015, de 28 de mayo, FJ 2, al decidir sendas cuestiones de inconstitucionalidad que planteaban un debate procesal análogo al que abordaba la STC 49/2015.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que se suscita en el presente proceso, al referirse a la misma disposición legal y fundarse en idénticos preceptos constitucionales que los asuntos resueltos del modo indicado por las SSTC 49/2015, 95/2015 y 109/2015, resulta notoriamente infundada,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1690-2015, planteada por la Sala de lo Social del Tribunal Superior de Justicia de Castilla y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de inadmisión dictado en la cuestión de inconstitucionalidad núm. 1690-2015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julio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