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165</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6 de octubre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28 de noviembre de 2011, el Letrado de la Comunidad Autónoma de la Región de Murcia, actuando en la representación que legalmente ostenta, interpuso recurso de inconstitucionalidad contra la disposición adicional primera del Real Decreto-ley 12/2011, de 26 de agosto, citado en el encabezamiento, que tiene 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“Disposición final primera. Modificación del texto refundido de la Ley de Aguas aprobado por Real Decreto Legislativo 1/2001, de 20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añade una nueva disposición adicional en el texto refundido de la Ley de Aguas aprobado por Real Decreto Legislativo 1/2001, de 20 de julio, con la siguiente redacción: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‘Disposición adicional decimocuarta. Competencias autonómicas en materia de policía de dominio público hidráulico.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las cuencas hidrográficas intercomunitarias, corresponderá a las Comunidades Autónomas que tengan prevista la competencia ejecutiva sobre las facultades de policía de dominio público hidráulico en sus Estatutos de Autonomía, el ejercicio, dentro de su ámbito territorial, de las funciones señaladas en el apartado 2 del artículo 94 de esta Ley, así como la tramitación de los procedimientos a que den lugar dichas actuaciones hasta la propuesta de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ejercicio de estas funciones, será aplicable a los órganos competentes de las Comunidades Autónomas lo dispuesto en los apartados 3 y 4 del artículo 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fundamentación del recurso es, resumidamente, la que a continuación se expone: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se denuncia la infracción del art. 86.1 CE al no responder la norma impugnada a ninguna situación de “extraordinaria y urgente necesidad”, como exige el citado precepto constitucional para que el Gobierno pueda dictar un real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interposición comienza afirmando que el precepto, aunque no se reconozca expresamente, pretende dar cobertura a la encomienda atribuida a la Junta de Andalucía sobre la gestión del río Guadalquivir mediante convenio suscrito entre esa comunidad y el Ministerio de Medio Ambiente el día 7 de abril de 2011, como salida transitoria a la declaración de inconstitucionalidad del art. 51 de la Ley Orgánica 5/2007, de reforma del Estatuto de Autonomía para Andalucía, establecida por la STC 30/2011, de 16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argumenta que la justificación ofrecida por el Gobierno en la exposición de motivos del Real Decreto-ley 12/2011 no se ajusta a la doctrina de este Tribunal sobre la posibilidad de controlar el correcto ejercicio por parte del Gobierno de la potestad legislativa provisional y de urgencia que este artículo le reconoce. Recuerda que la expresión “extraordinaria y urgente necesidad” del art. 86.1 CE no es una expresión vacía de significado sino la constatación de un límite a la actuación mediante decretos leyes, cuya inexistencia conlleva la declaración de inconstitucionalidad (cita en este sentido las SSTC 29/1982, de 31 de mayo; 155/2005, de 9 de junio, y 68/2007, de 28 de marzo). Asimismo, recuerda que, según esa misma jurisprudencia, la definición de esa situación de extraordinaria y urgente necesidad ha de ser explícita y razonada y que debe existir una conexión de sentido entre el presupuesto habilitante y las medidas que se aprueban por medio del decreto-ley para subvenir a esa situación.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ello, la exposición de motivos se limita a explicar, a propósito de esta concreta disposición, que “[c]on esta medida se pretende dotar de mayor seguridad jurídica a las relaciones interadministrativas en materia de aguas, todo ello conforme a la reciente doctrina del Tribunal Constitucional contenida en la Sentencia 30/2011, de 16 de marzo”. Fórmula de estilo que en modo alguno satisface los condicionamientos constitucionales antes expuestos.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el Consejo de Gobierno recurrente discute el contenido de la disposición aprobada, que le parece que vulnera la distribución constitucional de competencias al infringir el principio de unidad de gestión que, según aquél, se deriva de los arts. 148.1.10 y 149.1.22 CE, tal y como ha sido interpretado por la STC 227/1988, de 29 de noviembre, y las posteriores SSTC161/1996, 15/1998, 110/1998, 118/1998, 166/2000 y 123/2003. Llama especialmente la atención sobre el hecho de que la tesis “fragmentadora” de la cuenca hidrográfica como unidad de gestión, hoy contenida en el art. 16 del texto refundido de la Ley de aguas, postulada por el Gobierno vasco en su recurso de inconstitucionalidad contra la Ley de aguas de 1985, haya sido expresamente rechazada desde “criterios lógicos, técnicos y de experiencia” por la citada STC 227/1988, FJ 15. Le parece entonces que el principio de unidad de gestión e indivisibilidad de las cuencas hidrográficas permiten distinguir tan solo entre las intercomunitarias y las internas o intracomunitarias. Sobre las primeras el Estado ejerce competencias plenas, en tanto que sobre las segundas son las Comunidades Autónomas las que lo hacen, sin perjuicio del respeto a la legislación básica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interpretación vendría avalada además, según la parte recurrente, por el art. 45.2 CE y su mandato de utilización racional de todos los recursos naturales, como ya tuvo ocasión de advertir la STC 227/1988, FJ 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concluye, el legislador estatal no puede redefinir las competencias exclusivas del Estado en relación con una cuenca hidrográfica intercomunitaria mediante un entendimiento fragmentador de la cuenca que conduzca a compartimentar el régimen jurídico y la administración de sus aguas. Todo lo contrario, debe asegurar la administración unitaria del recurso por medios de sus potestades normativas y ejecutivas. Y la disposición recurrida ha vulnerado este mandato, en primer lugar, porque las facultades previstas en el art. 94.2 del texto refundido de la Ley de aguas, que la citada disposición recurrida atribuye a las comunidades autónomas con competencias en la materia, son “muy relevantes” y “desbordan ampliamente las amparadas en el concepto de ‘policía fluvial’”. Y cita como ejemplo de ello el hecho de que puedan las comunidades autónomas, a partir de la reforma, intervenir en procedimientos concesionales (v. gr. para su revisión o caducidad), así como en la principal herramienta para corregir abusos y usos ilícitos (expedientes sancionadores). Y en segundo lugar, porque no le parece suficiente para evitar lo anterior la cautela de limitar las competencias atribuidas a las comunidades autónomas a la “tramitación” de los correspondientes procedimientos, manteniendo la competencia de la confederación hidrográfica para dictar la oportuna resolución. En la práctica, ello supone dejar a éstas desprovistas de su capacidad material y técnica para ejercer en plenitud sus facultades de administración y control del dominio público hidráulico (no podrán, por ejemplo, iniciar el correspondiente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Critica además la ineficiencia del sistema, que traerá consigo entre otros defectos de funcionamiento inevitables duplicidades, por ejemplo en los sistemas automatizados de información hidráulica o de control de calidad de agua.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concluye que el criterio de unidad de gestión es indisponible para el legislador, pues le parece evidente que los usos y aprovechamientos que se realizan en el territorio de una comunidad autónoma condicionan las posibilidades de uso en las demás de la misma cuenca. Y solicita, por ello, que se declare la inconstitucionalidad de la disposición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Pleno del Tribunal, mediante providencia de 13 de enero de 2012, admitió a trámite el presente recurso de inconstitucionalidad y acordó dar traslado de las actuaciones,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estimaran pertinentes, acordándose en el mismo trámite publicar la incoación del recurso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17 de enero de 2012, el Abogado del Estado presentó en el Registro General de este Tribunal un escrito en el que solicitaba que se le tuviera por comparecido en este proceso en nombre del Gobierno de la Nación e interesando, además, la prórroga del plazo concedido para formular alegaciones por el máximo legal, solicitudes que fueron atendidas mediante providencia del Pleno de 18 de enero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Mesa del Senado, por escrito de su Presidente registrado el 25 de enero de 2012, acordó dar por personada a esa Cámara y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 mismo hizo la Mesa del Congreso de los Diputados a través de escrito de su Presidente presentado en el Registro General de este Tribunal el día 3 de febrero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15 de febrero de 2012 tuvo entrada en este Tribunal el escrito de alegaciones del Abogado del Estado. En él, se defiende la plena conformidad con la Constitución de la disposición recurrida de acuerdo con los argumentos que, sucintamente,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precisando que no hará alegaciones en Derecho sobre la intención oculta del Gobierno apuntada por el Consejo recurrente. Advierte que no es objeto del recurso de inconstitucionalidad depurar esas supuestas intenciones, sino examinar y resolver el encaje constitucional de la norma recurrida. De todos modos, deja constancia de los siguientes hechos, que le parecen relevantes para examinar el primer motivo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30/2011, de 16 de marzo, declaró inconstitucional y nulo el art. 51 de la Ley Orgánica 2/2007, de 19 de mayo, de reforma del Estatuto de Autonomía de Andalucía (EAAnd, en adelante).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consecuencia de esa Sentencia, dice el Abogado del Estado, se tuvieron que arbitrar con carácter inmediato medidas de carácter temporal y provisional en orden a garantizar la continuidad y normalidad en la prestación del servicio público de gestión de los recursos y aprovechamientos hidráulicos en las aguas de la cuenca de Guadalquivir. Medidas que se plasmaron a través de un convenio de colaboración entre el Estado y la Comunidad Autónoma de Andalucía suscrito el 7 de noviembre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la Sala Tercera del Tribunal Supremo, en tres Sentencias de 13 y 14 de junio de 2011, dictadas en los recursos núms. 66-2008, 1-2009 y 2-2009, declaró la nulidad del Real Decreto 1666/2008, de 17 de octubre, sobre traspaso de funciones y servicios de la Administración del Estado a la Comunidad Autónoma de Andalucía en materia de recursos y aprovechamientos hidráulicos correspondientes a las aguas de la cuenca del Guadalquivir que discurren íntegramente por el territorio de aquella Comunidad Autónoma. En dichas Sentencias se razonaba que “la declaración de inconstitucionalidad y consiguiente anulación del artículo 51 EAAnd”, producida por la STC 30/2011 ya citada, “priva de soporte constitucional y anula el fundamento del traspaso de funciones y servicios de la Administración del Estado a la Comunidad Autónoma de Andalucía”, razón por la cual procedía declarar “no… la mera ineficacia pro futuro, con alcance únicamente prospectivo, de la regulación contenida en aquel precepto, sino su nulidad al resultar contrario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ejecución de las referidas Sentencias, el Gobierno aprobó el Real Decreto 1498/2011, de 21 de octubre, por el que se reintegraron a la Administración del Estado los medios materiales y personales traspasados a la Comunidad Autónoma de Andalucía por el Real Decreto 1666/2008 declarado nulo. Un Real Decreto que motivó, además, que el Tribunal Supremo rechazara el incidente de ejecución intentado por la Asociación Feragua de Comunidades de Regantes de Andalucía en el recurso núm. 1-2009 antes mencionado, precisamente por haberse ejecutado ya esas Sentencias a través del citado Real Decreto 1498/2011, de 21 de octubre (Auto de la Sección Tercera de la Sala Tercera del Tribunal Supremo de 15 de diciembre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todo ello deduce el Abogado del Estado que existe una justificación “explícita y razonada” para el dictado del Real Decreto-ley recurrido, en los términos exigidos por nuestra jurisprudencia. Admite que puede discutirse si en el párrafo antes transcrito de la exposición de motivos existe una mención terminante y categórica a los hechos determinantes de la situación de extraordinaria y urgente necesidad, pero, según su parecer, tal circunstancia no permite concluir que deba calificarse automáticamente de abusiva o arbitraria la actuación del Gobierno, sino que debe conducir al examen de si esos hechos o circunstancias relatados pueden servir de cobertura al Real Decreto-ley cuestionado. Y así, le parece que la declaración de inconstitucionalidad del art. 51 del EAAnd y las consecuencias a las que esa declaración de nulidad dio lugar (la nulidad, asimismo, del Real Decreto de traspaso núm. 1666/2008, antes citado) escenificaron una “situación de extraordinaria y urgente necesidad” que justifica la reacción legislativa inmediata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juicio, la misma conclusión se deduce del debate de convalidación, del que extracta el siguiente pasaje de la intervención de la Sra. Ministra de medio ambiente y medio rural y marino: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Constitucional, en su sentencia de 16 de marzo, declaró la inconstitucionalidad y nulidad del artículo 51 del Estatuto de Autonomía de Andalucía... Este pronunciamiento del Tribunal Constitucional lo reafirmó el propio Tribunal Constitucional el 17 de marzo en su sentencia 32/2011, en relación con la Ley Orgánica Estatuto de Autonomía de Castilla y León. Habidos los pronunciamientos del Tribunal Constitucional, hemos planteado, porque esos pronunciamientos lo han motivado, la modificación del sistema de gestión del agua en nuestro ordenamiento para dotarlo de mayor seguridad jurídica en lo que se refiere a las relaciones interadministrativas en materia de agua…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a través de esta nueva disposición adicional se viene a dar cumplimiento a las previsiones estatutarias en el marco de la reciente doctrina sentada por el Tribunal Constitucional, contribuyendo con ello a la seguridad jurídica en las relaciones intracomunitarias en materia de agua y también preservando la unidad de cuenca a la hora de gestionarlas.”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circunstancias le parecen suficientes para rechazar el carácter abusivo o arbitrario del Real Decreto-ley 12/2011, pretendido de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al contenido de la disposición impugnada, la representación del Gobierno destaca que la razón de decidir de las SSTC 30/2011, de 16 de marzo, y 32/2011, de 17 de marzo, que anularon dos preceptos estatutarios y que están en el origen del Real Decreto-ley impugnado, fue la inconstitucionalidad del contenido de esos preceptos pero también la inconstitucionalidad del vehículo formal empleado para su aprobación, del tipo normativo, que fue un Estatuto de Autonomía. Así, resulta de los dos siguientes pasajes de las referidas Sentencias, que extracta: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del fundamento jurídico 8 de la STC 31/2011, donde se dice: “con la definición estatutaria del criterio territorial determinante de la delimitación de las competencias atribuidas al Estado por el art. 149.1.22 CE no sólo se están asumiendo competencias fuera del ámbito que acabamos de señalar —arts. 148 y 149 CE a sensu contrario— sino que además se menoscaban gravemente ‘las funciones propias’ de las competencias estatales … Tal función integradora padecería de manera irremisible si los Estatutos de Autonomía fueran constitucionalmente capaces de imponer un criterio de delimitación competencial respecto de potestades y funciones que, como es el caso con las aguas que discurren por varias Comunidades Autónomas, han de proyectarse sobre una realidad física supracomunitaria, cuya disciplina sería sencillamente imposible si los criterios adoptados en los Estatutos de las Comunidades Autónomas interesadas resultaran incompatibles o excluyentes”.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segundo lugar, del fundamento jurídico 12 de la misma STC 30/2011, donde se razona: “[p]or último, y en relación con el art. 50.2 EAAnd, afirma el Consejo de Gobierno extremeño que sus dudas de constitucionalidad se centran en el último inciso del precepto, en cuanto atribuye a la Comunidad Autónoma de Andalucía facultades de policía del dominio público hidráulico sin dejar claro el tipo de cuencas al que se está haciendo referencia. De acuerdo con el propio recurrente, si se tratara de las intercomunitarias, sería constitucionalmente improcedente que el Estatuto asumiera así una competencia que corresponde al Estado (STC 161/1996, de 15 de junio). Así es, en efecto, y tal es la razón por la que, declarada la inconstitucionalidad del art. 51 EAAnd, esa interpretación no puede caber en el art. 50.2 EAAnd. Todo ello sin perjuicio de que, como alega el Abogado del Estado, nada impide que la legislación estatal de aguas confiera a las Comunidades Autónomas funciones o facultades de ‘policía del dominio público hidráulico’ en cuencas intercomunitarias (STC 161/1996, de 17 de octubre), o que, según el art. 17 d) de la Ley de aguas, entre las funciones del Estado en relación con el dominio público hidráulico se encuentre el otorgamiento de autorizaciones cuya tramitación puede encomendarse a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consiguiente, de los pasajes transcritos de la STC 30/2011 deduce que el principio de unidad de gestión de las cuencas intercomunitarias no implica atribución exclusiva y excluyente al Estado de todas las competencias en relación con dichas cuencas, y en concreto no impide a la legislación del Estado atribuir a las Comunidades Autónomas competencias ejecutivas en materia de policía de aguas, que es lo que aquí se ha hecho. Así lo confirma la normativa anterior a la reforma, donde se contienen previsiones semejantes. Es el caso del art. 17 d) del texto refundido de la Ley de aguas, que prevé la encomienda a las Comunidades Autónomas de la tramitación de las autorizaciones referentes al dominio público hidráulico en esta clase de cuencas, y también de la modificación de las zonas de servidumbre y de policía de los márgenes de los cauces públicos, previsto en el art. 9.3 del reglamento de dominio público hidráulico, aprobado por Real Decreto 849/1986, de 11 de abril. Pudiendo citarse, además, en el mismo sentido los supuestos de colaboración del art. 25 del texto refundido de la Ley de aguas, y, a sensu contrario, el art. 36 bis.4 del texto refundido de la Ley de aguas en relación con las cuencas intracomunitarias.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expuesto, termina su escrito solicitando de este Tribunal el dictado de una sentencia íntegramente desestimatoria del recurso de inconstitucionalidad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Consejo de Gobierno de la Comunidad Autónoma de la Región de Murcia ha interpuesto recurso de inconstitucionalidad contra la disposición final primera del Real Decreto-ley 12/2011, de 26 de agosto, por el que se modifica la Ley 1/2000, de 7 de enero, de enjuiciamiento civil, para la aplicación del convenio internacional sobre el embargo preventivo de buques y se regulan competencias autonómicas en materia de policía de dominio público hidráulico.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la STC 196/2015, de 24 de septiembre, recaída en el recurso de inconstitucionalidad 6363-2011 promovido por el Consell de la Generalitat Valenciana ha declarado ya la inconstitucionalidad y nulidad de la referida disposición. Por tanto, una vez que la norma discutida ha sido declarada nula por la Sentencia indicada, que vincula a todos los poderes públicos (arts. 38.1 y 39.1 de la Ley Orgánica del Tribunal Constitucional), el presente proceso de inconstitucionalidad núm. 6478-2011 ha quedado ya sin finalidad por desaparición sobrevenida de su objeto (así, entre otros, AATC 148/2011, de 7 de noviembre, FJ único, y 149/2011, de 7 de noviembre, FJ único), figura ésta de la extinción procesal “cuya integración dentro de nuestro sistema de justicia constitucional resulta plenamente viable, pese al silencio de la Ley Orgánica del Tribunal Constitucional, en razón a la virtualidad propia de los principios que inspiran la institución procesal” (ATC 14/1996, de 17 de enero, FJ único).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extinguido el recurso de inconstitucionalidad núm. 6478-2011,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octubre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